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FF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color w:val="auto"/>
          <w:spacing w:val="11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pacing w:val="11"/>
          <w:sz w:val="28"/>
          <w:szCs w:val="28"/>
          <w:highlight w:val="none"/>
        </w:rPr>
        <w:t>民权县十六届人大</w:t>
      </w:r>
    </w:p>
    <w:p w14:paraId="2886B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color w:val="auto"/>
          <w:spacing w:val="-6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pacing w:val="-6"/>
          <w:sz w:val="28"/>
          <w:szCs w:val="28"/>
          <w:highlight w:val="none"/>
        </w:rPr>
        <w:t>七次会议文件（</w:t>
      </w:r>
      <w:r>
        <w:rPr>
          <w:rFonts w:hint="eastAsia" w:ascii="黑体" w:hAnsi="黑体" w:eastAsia="黑体" w:cs="黑体"/>
          <w:color w:val="auto"/>
          <w:spacing w:val="-6"/>
          <w:sz w:val="28"/>
          <w:szCs w:val="28"/>
          <w:highlight w:val="none"/>
          <w:lang w:val="en-US" w:eastAsia="zh-CN"/>
        </w:rPr>
        <w:t>29</w:t>
      </w:r>
      <w:r>
        <w:rPr>
          <w:rFonts w:hint="eastAsia" w:ascii="黑体" w:hAnsi="黑体" w:eastAsia="黑体" w:cs="黑体"/>
          <w:color w:val="auto"/>
          <w:spacing w:val="-6"/>
          <w:sz w:val="28"/>
          <w:szCs w:val="28"/>
          <w:highlight w:val="none"/>
        </w:rPr>
        <w:t>）</w:t>
      </w:r>
    </w:p>
    <w:p w14:paraId="73F6F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eastAsia="方正小标宋_GBK" w:cs="Times New Roman"/>
          <w:color w:val="000000"/>
          <w:spacing w:val="0"/>
          <w:sz w:val="36"/>
          <w:szCs w:val="36"/>
          <w:highlight w:val="none"/>
          <w:u w:val="none"/>
        </w:rPr>
      </w:pPr>
    </w:p>
    <w:p w14:paraId="62DEA5F9">
      <w:pPr>
        <w:rPr>
          <w:rFonts w:hint="eastAsia"/>
          <w:highlight w:val="none"/>
        </w:rPr>
      </w:pPr>
    </w:p>
    <w:p w14:paraId="4827F926">
      <w:pPr>
        <w:rPr>
          <w:rFonts w:hint="eastAsia"/>
          <w:highlight w:val="none"/>
        </w:rPr>
      </w:pPr>
    </w:p>
    <w:p w14:paraId="33455A7C">
      <w:pPr>
        <w:rPr>
          <w:rFonts w:hint="eastAsia"/>
          <w:highlight w:val="none"/>
        </w:rPr>
      </w:pPr>
    </w:p>
    <w:p w14:paraId="7D94CFA0">
      <w:pPr>
        <w:rPr>
          <w:rFonts w:hint="eastAsia"/>
          <w:highlight w:val="none"/>
        </w:rPr>
      </w:pPr>
    </w:p>
    <w:p w14:paraId="24A6AE21">
      <w:pPr>
        <w:rPr>
          <w:rFonts w:hint="eastAsia"/>
          <w:highlight w:val="none"/>
        </w:rPr>
      </w:pPr>
    </w:p>
    <w:p w14:paraId="562B7BEC">
      <w:pPr>
        <w:rPr>
          <w:rFonts w:hint="eastAsia"/>
          <w:highlight w:val="none"/>
        </w:rPr>
      </w:pPr>
    </w:p>
    <w:p w14:paraId="5058489C">
      <w:pPr>
        <w:rPr>
          <w:rFonts w:hint="eastAsia"/>
          <w:highlight w:val="none"/>
        </w:rPr>
      </w:pPr>
    </w:p>
    <w:p w14:paraId="192EEF29">
      <w:pPr>
        <w:bidi w:val="0"/>
        <w:ind w:left="0" w:leftChars="0" w:firstLine="0" w:firstLineChars="0"/>
        <w:jc w:val="center"/>
        <w:rPr>
          <w:rFonts w:hint="eastAsia" w:eastAsia="方正小标宋_GBK"/>
          <w:sz w:val="44"/>
          <w:szCs w:val="44"/>
          <w:highlight w:val="none"/>
        </w:rPr>
      </w:pPr>
      <w:r>
        <w:rPr>
          <w:rFonts w:hint="eastAsia" w:eastAsia="方正小标宋_GBK"/>
          <w:sz w:val="44"/>
          <w:szCs w:val="44"/>
          <w:highlight w:val="none"/>
        </w:rPr>
        <w:t>民权县</w:t>
      </w:r>
    </w:p>
    <w:p w14:paraId="1BB2448D">
      <w:pPr>
        <w:bidi w:val="0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年全县财政预算执行情况及</w:t>
      </w:r>
    </w:p>
    <w:p w14:paraId="7ED6577B">
      <w:pPr>
        <w:bidi w:val="0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年县级财政收支预算草案</w:t>
      </w:r>
    </w:p>
    <w:p w14:paraId="61E1E14B">
      <w:pPr>
        <w:rPr>
          <w:rFonts w:hint="eastAsia"/>
          <w:highlight w:val="none"/>
        </w:rPr>
      </w:pPr>
    </w:p>
    <w:p w14:paraId="6C1E1601">
      <w:pPr>
        <w:rPr>
          <w:rFonts w:hint="eastAsia"/>
          <w:highlight w:val="none"/>
        </w:rPr>
      </w:pPr>
    </w:p>
    <w:p w14:paraId="4656E2C5">
      <w:pPr>
        <w:rPr>
          <w:rFonts w:hint="eastAsia"/>
          <w:highlight w:val="none"/>
        </w:rPr>
      </w:pPr>
    </w:p>
    <w:p w14:paraId="7CAE5E37">
      <w:pPr>
        <w:rPr>
          <w:rFonts w:hint="eastAsia"/>
          <w:highlight w:val="none"/>
        </w:rPr>
      </w:pPr>
    </w:p>
    <w:p w14:paraId="09705915">
      <w:pPr>
        <w:rPr>
          <w:rFonts w:hint="eastAsia"/>
          <w:highlight w:val="none"/>
        </w:rPr>
      </w:pPr>
    </w:p>
    <w:p w14:paraId="226913B1">
      <w:pPr>
        <w:rPr>
          <w:rFonts w:hint="eastAsia"/>
          <w:highlight w:val="none"/>
        </w:rPr>
      </w:pPr>
    </w:p>
    <w:p w14:paraId="5C54E143">
      <w:pPr>
        <w:rPr>
          <w:rFonts w:hint="eastAsia"/>
          <w:highlight w:val="none"/>
        </w:rPr>
      </w:pPr>
    </w:p>
    <w:p w14:paraId="1FC76DD7">
      <w:pPr>
        <w:rPr>
          <w:rFonts w:hint="eastAsia"/>
          <w:highlight w:val="none"/>
        </w:rPr>
      </w:pPr>
    </w:p>
    <w:p w14:paraId="33574CE5">
      <w:pPr>
        <w:rPr>
          <w:rFonts w:hint="eastAsia"/>
          <w:highlight w:val="none"/>
        </w:rPr>
      </w:pPr>
    </w:p>
    <w:p w14:paraId="282C8ED6">
      <w:pPr>
        <w:ind w:left="0" w:leftChars="0" w:firstLine="0" w:firstLineChars="0"/>
        <w:jc w:val="center"/>
        <w:rPr>
          <w:rFonts w:hint="eastAsia" w:ascii="黑体" w:hAnsi="黑体" w:eastAsia="黑体" w:cs="黑体"/>
          <w:sz w:val="32"/>
          <w:highlight w:val="none"/>
        </w:rPr>
      </w:pPr>
      <w:r>
        <w:rPr>
          <w:rFonts w:hint="eastAsia" w:ascii="黑体" w:hAnsi="黑体" w:eastAsia="黑体" w:cs="黑体"/>
          <w:sz w:val="32"/>
          <w:highlight w:val="none"/>
        </w:rPr>
        <w:t>202</w:t>
      </w:r>
      <w:r>
        <w:rPr>
          <w:rFonts w:hint="eastAsia" w:ascii="黑体" w:hAnsi="黑体" w:eastAsia="黑体" w:cs="黑体"/>
          <w:sz w:val="32"/>
          <w:highlight w:val="none"/>
          <w:lang w:val="en-US" w:eastAsia="zh-CN"/>
        </w:rPr>
        <w:t>6</w:t>
      </w:r>
      <w:r>
        <w:rPr>
          <w:rFonts w:hint="eastAsia" w:ascii="黑体" w:hAnsi="黑体" w:eastAsia="黑体" w:cs="黑体"/>
          <w:sz w:val="32"/>
          <w:highlight w:val="none"/>
        </w:rPr>
        <w:t>年</w:t>
      </w:r>
      <w:r>
        <w:rPr>
          <w:rFonts w:hint="eastAsia" w:ascii="黑体" w:hAnsi="黑体" w:eastAsia="黑体" w:cs="黑体"/>
          <w:sz w:val="32"/>
          <w:highlight w:val="none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highlight w:val="none"/>
        </w:rPr>
        <w:t>月</w:t>
      </w:r>
    </w:p>
    <w:p w14:paraId="7FDD2488">
      <w:pPr>
        <w:ind w:left="0" w:leftChars="0" w:firstLine="0" w:firstLineChars="0"/>
        <w:rPr>
          <w:rFonts w:hint="eastAsia" w:eastAsia="黑体"/>
          <w:sz w:val="32"/>
          <w:highlight w:val="none"/>
        </w:rPr>
        <w:sectPr>
          <w:pgSz w:w="11906" w:h="16838"/>
          <w:pgMar w:top="1417" w:right="1417" w:bottom="1701" w:left="1701" w:header="851" w:footer="992" w:gutter="0"/>
          <w:pgNumType w:fmt="decimal"/>
          <w:cols w:space="0" w:num="1"/>
          <w:rtlGutter w:val="0"/>
          <w:docGrid w:linePitch="442" w:charSpace="0"/>
        </w:sectPr>
      </w:pPr>
    </w:p>
    <w:p w14:paraId="301C60E3">
      <w:pPr>
        <w:bidi w:val="0"/>
        <w:ind w:left="0" w:leftChars="0" w:firstLine="0" w:firstLineChars="0"/>
        <w:jc w:val="center"/>
        <w:rPr>
          <w:rFonts w:hint="eastAsia" w:eastAsia="方正小标宋_GBK"/>
          <w:sz w:val="44"/>
          <w:szCs w:val="44"/>
          <w:highlight w:val="none"/>
        </w:rPr>
        <w:sectPr>
          <w:footerReference r:id="rId5" w:type="default"/>
          <w:pgSz w:w="11906" w:h="16838"/>
          <w:pgMar w:top="1417" w:right="1417" w:bottom="1701" w:left="1701" w:header="851" w:footer="992" w:gutter="0"/>
          <w:pgNumType w:fmt="decimal" w:start="1"/>
          <w:cols w:space="0" w:num="1"/>
          <w:rtlGutter w:val="0"/>
          <w:docGrid w:linePitch="442" w:charSpace="0"/>
        </w:sectPr>
      </w:pPr>
    </w:p>
    <w:p w14:paraId="385C4057">
      <w:pPr>
        <w:bidi w:val="0"/>
        <w:ind w:left="0" w:leftChars="0" w:firstLine="0" w:firstLineChars="0"/>
        <w:jc w:val="center"/>
        <w:rPr>
          <w:rFonts w:hint="eastAsia" w:eastAsia="方正小标宋_GBK"/>
          <w:sz w:val="44"/>
          <w:szCs w:val="44"/>
          <w:highlight w:val="none"/>
        </w:rPr>
      </w:pPr>
      <w:r>
        <w:rPr>
          <w:rFonts w:hint="eastAsia" w:eastAsia="方正小标宋_GBK"/>
          <w:sz w:val="44"/>
          <w:szCs w:val="44"/>
          <w:highlight w:val="none"/>
        </w:rPr>
        <w:t>目</w:t>
      </w:r>
      <w:r>
        <w:rPr>
          <w:rFonts w:hint="eastAsia" w:eastAsia="方正小标宋_GBK"/>
          <w:sz w:val="44"/>
          <w:szCs w:val="44"/>
          <w:highlight w:val="none"/>
          <w:lang w:val="en-US" w:eastAsia="zh-CN"/>
        </w:rPr>
        <w:t xml:space="preserve">  </w:t>
      </w:r>
      <w:r>
        <w:rPr>
          <w:rFonts w:hint="eastAsia" w:eastAsia="方正小标宋_GBK"/>
          <w:sz w:val="44"/>
          <w:szCs w:val="44"/>
          <w:highlight w:val="none"/>
        </w:rPr>
        <w:t>录</w:t>
      </w:r>
    </w:p>
    <w:p w14:paraId="7AB97EE6">
      <w:pPr>
        <w:pStyle w:val="2"/>
        <w:rPr>
          <w:rFonts w:hint="eastAsia"/>
          <w:highlight w:val="none"/>
        </w:rPr>
      </w:pPr>
    </w:p>
    <w:p w14:paraId="6799AF2F">
      <w:pPr>
        <w:pStyle w:val="11"/>
        <w:tabs>
          <w:tab w:val="right" w:leader="dot" w:pos="8788"/>
        </w:tabs>
      </w:pPr>
      <w:r>
        <w:rPr>
          <w:rFonts w:hint="eastAsia"/>
          <w:sz w:val="32"/>
          <w:szCs w:val="32"/>
          <w:highlight w:val="none"/>
          <w:lang w:val="en-US" w:eastAsia="zh-CN"/>
        </w:rPr>
        <w:t>一、</w:t>
      </w:r>
      <w:r>
        <w:rPr>
          <w:rFonts w:hint="eastAsia"/>
          <w:sz w:val="32"/>
          <w:szCs w:val="32"/>
          <w:highlight w:val="none"/>
        </w:rPr>
        <w:fldChar w:fldCharType="begin"/>
      </w:r>
      <w:r>
        <w:rPr>
          <w:rFonts w:hint="eastAsia"/>
          <w:sz w:val="32"/>
          <w:szCs w:val="32"/>
          <w:highlight w:val="none"/>
        </w:rPr>
        <w:instrText xml:space="preserve">TOC \o "1-3" \h \u </w:instrText>
      </w:r>
      <w:r>
        <w:rPr>
          <w:rFonts w:hint="eastAsia"/>
          <w:sz w:val="32"/>
          <w:szCs w:val="32"/>
          <w:highlight w:val="none"/>
        </w:rPr>
        <w:fldChar w:fldCharType="separate"/>
      </w:r>
      <w:r>
        <w:rPr>
          <w:rFonts w:hint="eastAsia"/>
          <w:szCs w:val="32"/>
          <w:highlight w:val="none"/>
        </w:rPr>
        <w:fldChar w:fldCharType="begin"/>
      </w:r>
      <w:r>
        <w:rPr>
          <w:rFonts w:hint="eastAsia"/>
          <w:szCs w:val="32"/>
          <w:highlight w:val="none"/>
        </w:rPr>
        <w:instrText xml:space="preserve"> HYPERLINK \l _Toc23961 </w:instrText>
      </w:r>
      <w:r>
        <w:rPr>
          <w:rFonts w:hint="eastAsia"/>
          <w:szCs w:val="32"/>
          <w:highlight w:val="none"/>
        </w:rPr>
        <w:fldChar w:fldCharType="separate"/>
      </w:r>
      <w:r>
        <w:rPr>
          <w:rFonts w:hint="eastAsia"/>
          <w:szCs w:val="44"/>
          <w:highlight w:val="none"/>
        </w:rPr>
        <w:t>编报说明</w:t>
      </w:r>
      <w:r>
        <w:tab/>
      </w:r>
      <w:r>
        <w:fldChar w:fldCharType="begin"/>
      </w:r>
      <w:r>
        <w:instrText xml:space="preserve"> PAGEREF _Toc23961 \h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szCs w:val="32"/>
          <w:highlight w:val="none"/>
        </w:rPr>
        <w:fldChar w:fldCharType="end"/>
      </w:r>
    </w:p>
    <w:p w14:paraId="13CACB3B">
      <w:pPr>
        <w:pStyle w:val="11"/>
        <w:tabs>
          <w:tab w:val="right" w:leader="dot" w:pos="8788"/>
        </w:tabs>
      </w:pPr>
      <w:r>
        <w:rPr>
          <w:rFonts w:hint="eastAsia"/>
          <w:szCs w:val="32"/>
          <w:highlight w:val="none"/>
          <w:lang w:val="en-US" w:eastAsia="zh-CN"/>
        </w:rPr>
        <w:t>二、</w:t>
      </w:r>
      <w:r>
        <w:rPr>
          <w:rFonts w:hint="eastAsia"/>
          <w:szCs w:val="32"/>
          <w:highlight w:val="none"/>
        </w:rPr>
        <w:fldChar w:fldCharType="begin"/>
      </w:r>
      <w:r>
        <w:rPr>
          <w:rFonts w:hint="eastAsia"/>
          <w:szCs w:val="32"/>
          <w:highlight w:val="none"/>
        </w:rPr>
        <w:instrText xml:space="preserve"> HYPERLINK \l _Toc14386 </w:instrText>
      </w:r>
      <w:r>
        <w:rPr>
          <w:rFonts w:hint="eastAsia"/>
          <w:szCs w:val="32"/>
          <w:highlight w:val="none"/>
        </w:rPr>
        <w:fldChar w:fldCharType="separate"/>
      </w:r>
      <w:r>
        <w:rPr>
          <w:rFonts w:hint="default"/>
          <w:szCs w:val="44"/>
          <w:highlight w:val="none"/>
          <w:lang w:val="en-US" w:eastAsia="zh-CN"/>
        </w:rPr>
        <w:t>预算报表说明</w:t>
      </w:r>
      <w:r>
        <w:tab/>
      </w:r>
      <w:r>
        <w:fldChar w:fldCharType="begin"/>
      </w:r>
      <w:r>
        <w:instrText xml:space="preserve"> PAGEREF _Toc14386 \h </w:instrText>
      </w:r>
      <w:r>
        <w:fldChar w:fldCharType="separate"/>
      </w:r>
      <w:r>
        <w:t>3</w:t>
      </w:r>
      <w:r>
        <w:fldChar w:fldCharType="end"/>
      </w:r>
      <w:r>
        <w:rPr>
          <w:rFonts w:hint="eastAsia"/>
          <w:szCs w:val="32"/>
          <w:highlight w:val="none"/>
        </w:rPr>
        <w:fldChar w:fldCharType="end"/>
      </w:r>
    </w:p>
    <w:p w14:paraId="7459A523">
      <w:pPr>
        <w:pStyle w:val="12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_Toc9446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2025年民权县一般公共预算收入分项完成情况表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_Toc9446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3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410F6287">
      <w:pPr>
        <w:pStyle w:val="8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_Toc3520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关于2025年全县一般公共预算收入执行情况的说明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_Toc3520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4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187B4A19">
      <w:pPr>
        <w:pStyle w:val="12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_Toc6402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2025年民权县一般公共预算支出分项完成情况表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_Toc6402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6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2CB923A7">
      <w:pPr>
        <w:pStyle w:val="8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_Toc28089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关于2025年全县一般公共预算支出执行情况的说明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_Toc28089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7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2CB5CE8F">
      <w:pPr>
        <w:pStyle w:val="12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_Toc29777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2025年民权县本级一般公共预算收入分项完成情况表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_Toc29777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9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50BDFF37">
      <w:pPr>
        <w:pStyle w:val="8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_Toc22983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关于2025年县本级一般公共预算收入执行情况的说明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_Toc22983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10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7E537651">
      <w:pPr>
        <w:pStyle w:val="12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_Toc26455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2025年民权县本级一般公共预算支出分项完成情况表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_Toc26455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12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5F70E5B7">
      <w:pPr>
        <w:pStyle w:val="8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_Toc18363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关于2025年县本级一般公共预算支出执行情况的说明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_Toc18363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13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440D8A34">
      <w:pPr>
        <w:pStyle w:val="12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_Toc645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2025年民权县政府性基金收入分项完成情况表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_Toc645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15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782BE765">
      <w:pPr>
        <w:pStyle w:val="8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_Toc6331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关于2025年全县政府性基金收入执行情况的说明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_Toc6331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16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35740472">
      <w:pPr>
        <w:pStyle w:val="12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_Toc13066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2025年民权县政府性基金支出分项完成情况表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_Toc13066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17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2850D149">
      <w:pPr>
        <w:pStyle w:val="8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_Toc31542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关于2025年全县政府性基金支出执行情况的说明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_Toc31542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18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23B0844B">
      <w:pPr>
        <w:pStyle w:val="12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_Toc5017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zh-CN" w:eastAsia="zh-CN"/>
        </w:rPr>
        <w:t>20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30"/>
          <w:szCs w:val="30"/>
          <w:highlight w:val="none"/>
          <w:lang w:val="zh-CN" w:eastAsia="zh-CN"/>
        </w:rPr>
        <w:t>年民权县社会保险基金执行情况表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_Toc5017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20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2F26D5D4">
      <w:pPr>
        <w:pStyle w:val="8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_Toc5414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关于</w:t>
      </w:r>
      <w:r>
        <w:rPr>
          <w:rFonts w:hint="eastAsia" w:ascii="仿宋" w:hAnsi="仿宋" w:eastAsia="仿宋" w:cs="仿宋"/>
          <w:sz w:val="30"/>
          <w:szCs w:val="30"/>
          <w:highlight w:val="none"/>
          <w:lang w:val="zh-CN" w:eastAsia="zh-CN"/>
        </w:rPr>
        <w:t>20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30"/>
          <w:szCs w:val="30"/>
          <w:highlight w:val="none"/>
          <w:lang w:val="zh-CN" w:eastAsia="zh-CN"/>
        </w:rPr>
        <w:t>年民权县社会保险基金执行情况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sz w:val="30"/>
          <w:szCs w:val="30"/>
          <w:highlight w:val="none"/>
          <w:lang w:val="zh-CN" w:eastAsia="zh-CN"/>
        </w:rPr>
        <w:t>说明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_Toc5414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21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1C28FAB0">
      <w:pPr>
        <w:pStyle w:val="12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_Toc6156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2025年县本级国有资本经营收支执行情况总表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_Toc6156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22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144F61E4">
      <w:pPr>
        <w:pStyle w:val="8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_Toc418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关于2025年县本级国有资本经营预算执行情况的说明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_Toc418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23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7278AD27">
      <w:pPr>
        <w:pStyle w:val="12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_Toc4922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2025年政府债务还本付息情况表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_Toc4922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24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5175CA12">
      <w:pPr>
        <w:pStyle w:val="8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_Toc17365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关于政府债务还本付息情况的说明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_Toc17365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25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2AB63B07">
      <w:pPr>
        <w:pStyle w:val="12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_Toc20617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2026年县本级一般公共预算收入预算表（草案）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_Toc20617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26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48BF40DF">
      <w:pPr>
        <w:pStyle w:val="8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_Toc8914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Hans"/>
        </w:rPr>
        <w:t>关于202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Hans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县本级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Hans"/>
        </w:rPr>
        <w:t>一般公共预算收入预算情况的说明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_Toc8914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27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12573367">
      <w:pPr>
        <w:pStyle w:val="12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_Toc1788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2026年县本级一般公共预算支出预算表（草案）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_Toc1788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28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7147FFCD">
      <w:pPr>
        <w:pStyle w:val="8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_Toc15580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Hans"/>
        </w:rPr>
        <w:t>关于202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Hans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县本级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Hans"/>
        </w:rPr>
        <w:t>一般公共预算支出预算情况的说明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_Toc15580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29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29C52983">
      <w:pPr>
        <w:pStyle w:val="12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_Toc22994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2026年县本级政府性基金预算收入表（草案）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_Toc22994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30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5D7B16CD">
      <w:pPr>
        <w:pStyle w:val="8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_Toc22044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Hans"/>
        </w:rPr>
        <w:t>关于202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Hans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县本级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Hans"/>
        </w:rPr>
        <w:t>政府性基金收入预算情况的说明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_Toc22044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31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528A853F">
      <w:pPr>
        <w:pStyle w:val="12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_Toc31470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2026年县本级政府性基金预算支出表（草案）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_Toc31470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32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7613BA60">
      <w:pPr>
        <w:pStyle w:val="8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_Toc17883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Hans"/>
        </w:rPr>
        <w:t>关于202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Hans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县本级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Hans"/>
        </w:rPr>
        <w:t>政府性基金支出预算情况的说明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_Toc17883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33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3F1A5345">
      <w:pPr>
        <w:pStyle w:val="12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_Toc26011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2026年县本级“三公”经费预算表（草案）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_Toc26011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34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515791F1">
      <w:pPr>
        <w:pStyle w:val="8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_Toc16057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Hans"/>
        </w:rPr>
        <w:t>关于202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Hans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县本级“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Hans"/>
        </w:rPr>
        <w:t>三公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”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Hans"/>
        </w:rPr>
        <w:t>经费支出预算情况的说明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_Toc16057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35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154A3192">
      <w:pPr>
        <w:pStyle w:val="12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_Toc7281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zh-CN" w:eastAsia="zh-CN"/>
        </w:rPr>
        <w:t>202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  <w:highlight w:val="none"/>
          <w:lang w:val="zh-CN" w:eastAsia="zh-CN"/>
        </w:rPr>
        <w:t>年民权县社会保险基金预算收支表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_Toc7281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36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50E87AFE">
      <w:pPr>
        <w:pStyle w:val="8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_Toc20863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关于</w:t>
      </w:r>
      <w:r>
        <w:rPr>
          <w:rFonts w:hint="eastAsia" w:ascii="仿宋" w:hAnsi="仿宋" w:eastAsia="仿宋" w:cs="仿宋"/>
          <w:sz w:val="30"/>
          <w:szCs w:val="30"/>
          <w:highlight w:val="none"/>
          <w:lang w:val="zh-CN" w:eastAsia="zh-CN"/>
        </w:rPr>
        <w:t>202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  <w:highlight w:val="none"/>
          <w:lang w:val="zh-CN" w:eastAsia="zh-CN"/>
        </w:rPr>
        <w:t>年民权县社会保险基金预算收支情况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sz w:val="30"/>
          <w:szCs w:val="30"/>
          <w:highlight w:val="none"/>
          <w:lang w:val="zh-CN" w:eastAsia="zh-CN"/>
        </w:rPr>
        <w:t>说明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_Toc20863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37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44296041">
      <w:pPr>
        <w:pStyle w:val="12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_Toc27494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2026年县本级国有资本经营收支预算表（草案）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_Toc27494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38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7FF9A7D1">
      <w:pPr>
        <w:pStyle w:val="8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_Toc18286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Hans"/>
        </w:rPr>
        <w:t>关于202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Hans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县本级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Hans"/>
        </w:rPr>
        <w:t>国有资本经营收支预算情况的说明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_Toc18286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39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5D7E7775">
      <w:pPr>
        <w:pStyle w:val="12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_Toc30538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2025年和2026年政府一般债务限额余额情况表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_Toc30538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40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4D786DEA">
      <w:pPr>
        <w:pStyle w:val="8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_Toc6219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关于一般债务限额余额情况的说明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_Toc6219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41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2BD75DD6">
      <w:pPr>
        <w:pStyle w:val="12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_Toc28223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2025年和2026年政府专项债务限额余额情况表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_Toc28223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42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50C892BB">
      <w:pPr>
        <w:pStyle w:val="8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_Toc8556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关于专项债务限额余额情况的说明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_Toc8556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43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26CF4D86">
      <w:pPr>
        <w:pStyle w:val="12"/>
        <w:tabs>
          <w:tab w:val="right" w:leader="dot" w:pos="8788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_Toc2293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2026年民权县新增政府一般债券安排项目情况表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_Toc2293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44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17FA5C84">
      <w:pPr>
        <w:pStyle w:val="12"/>
        <w:tabs>
          <w:tab w:val="right" w:leader="dot" w:pos="8788"/>
        </w:tabs>
      </w:pP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highlight w:val="none"/>
        </w:rPr>
        <w:instrText xml:space="preserve"> HYPERLINK \l _Toc11928 </w:instrTex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2026年民权县新增政府专项债券安排项目情况表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PAGEREF _Toc11928 \h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</w:rPr>
        <w:t>45</w:t>
      </w:r>
      <w:r>
        <w:rPr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</w:p>
    <w:p w14:paraId="7A499BF8">
      <w:pPr>
        <w:pStyle w:val="11"/>
        <w:tabs>
          <w:tab w:val="right" w:leader="dot" w:pos="8788"/>
        </w:tabs>
        <w:rPr>
          <w:rFonts w:hint="eastAsia"/>
          <w:highlight w:val="none"/>
        </w:rPr>
        <w:sectPr>
          <w:footerReference r:id="rId6" w:type="default"/>
          <w:pgSz w:w="11906" w:h="16838"/>
          <w:pgMar w:top="1417" w:right="1417" w:bottom="1701" w:left="1701" w:header="851" w:footer="992" w:gutter="0"/>
          <w:pgNumType w:fmt="decimal" w:start="1"/>
          <w:cols w:space="0" w:num="1"/>
          <w:rtlGutter w:val="0"/>
          <w:docGrid w:linePitch="442" w:charSpace="0"/>
        </w:sectPr>
      </w:pPr>
      <w:r>
        <w:rPr>
          <w:rFonts w:hint="eastAsia"/>
          <w:szCs w:val="32"/>
          <w:highlight w:val="none"/>
        </w:rPr>
        <w:fldChar w:fldCharType="end"/>
      </w:r>
    </w:p>
    <w:p w14:paraId="63E6A0D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/>
          <w:highlight w:val="none"/>
        </w:rPr>
      </w:pPr>
    </w:p>
    <w:p w14:paraId="4B823B09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/>
          <w:sz w:val="44"/>
          <w:szCs w:val="44"/>
          <w:highlight w:val="none"/>
        </w:rPr>
      </w:pPr>
      <w:bookmarkStart w:id="0" w:name="_Toc23961"/>
      <w:r>
        <w:rPr>
          <w:rFonts w:hint="eastAsia"/>
          <w:sz w:val="44"/>
          <w:szCs w:val="44"/>
          <w:highlight w:val="none"/>
        </w:rPr>
        <w:t>编报说明</w:t>
      </w:r>
      <w:bookmarkEnd w:id="0"/>
    </w:p>
    <w:p w14:paraId="3EBAA5A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/>
          <w:highlight w:val="none"/>
        </w:rPr>
      </w:pPr>
    </w:p>
    <w:p w14:paraId="0A64D06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一</w:t>
      </w:r>
      <w:r>
        <w:rPr>
          <w:rFonts w:hint="eastAsia" w:ascii="仿宋" w:hAnsi="仿宋" w:eastAsia="仿宋" w:cs="仿宋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highlight w:val="none"/>
        </w:rPr>
        <w:t>县级收支为县本级的收支汇总。</w:t>
      </w:r>
    </w:p>
    <w:p w14:paraId="4EE9781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二</w:t>
      </w:r>
      <w:r>
        <w:rPr>
          <w:rFonts w:hint="eastAsia" w:ascii="仿宋" w:hAnsi="仿宋" w:eastAsia="仿宋" w:cs="仿宋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highlight w:val="none"/>
        </w:rPr>
        <w:t>根据财政部政府收支科目调整情况，202</w:t>
      </w:r>
      <w:r>
        <w:rPr>
          <w:rFonts w:hint="eastAsia" w:ascii="仿宋" w:hAnsi="仿宋" w:eastAsia="仿宋" w:cs="仿宋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highlight w:val="none"/>
        </w:rPr>
        <w:t>年政府收支分类科目在202</w:t>
      </w:r>
      <w:r>
        <w:rPr>
          <w:rFonts w:hint="eastAsia" w:ascii="仿宋" w:hAnsi="仿宋" w:eastAsia="仿宋" w:cs="仿宋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highlight w:val="none"/>
        </w:rPr>
        <w:t>年的基础上相应调整。</w:t>
      </w:r>
    </w:p>
    <w:p w14:paraId="6F75AEA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</w:rPr>
        <w:t>三</w:t>
      </w:r>
      <w:r>
        <w:rPr>
          <w:rFonts w:hint="eastAsia" w:ascii="仿宋" w:hAnsi="仿宋" w:eastAsia="仿宋" w:cs="仿宋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highlight w:val="none"/>
        </w:rPr>
        <w:t>根据</w:t>
      </w:r>
      <w:r>
        <w:rPr>
          <w:rFonts w:hint="eastAsia" w:ascii="仿宋" w:hAnsi="仿宋" w:eastAsia="仿宋" w:cs="仿宋"/>
          <w:highlight w:val="none"/>
          <w:lang w:eastAsia="zh-CN"/>
        </w:rPr>
        <w:t>《中华人民共和国预算法》</w:t>
      </w:r>
      <w:r>
        <w:rPr>
          <w:rFonts w:hint="eastAsia" w:ascii="仿宋" w:hAnsi="仿宋" w:eastAsia="仿宋" w:cs="仿宋"/>
          <w:highlight w:val="none"/>
        </w:rPr>
        <w:t>对财政收支编报口径的规定，县级202</w:t>
      </w:r>
      <w:r>
        <w:rPr>
          <w:rFonts w:hint="eastAsia" w:ascii="仿宋" w:hAnsi="仿宋" w:eastAsia="仿宋" w:cs="仿宋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highlight w:val="none"/>
        </w:rPr>
        <w:t>年预算编报口径为一般公共预算收入总计和一般公共预算支出总计，包括本级收入</w:t>
      </w:r>
      <w:r>
        <w:rPr>
          <w:rFonts w:hint="eastAsia" w:ascii="仿宋" w:hAnsi="仿宋" w:eastAsia="仿宋" w:cs="仿宋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highlight w:val="none"/>
        </w:rPr>
        <w:t>上级补助</w:t>
      </w:r>
      <w:r>
        <w:rPr>
          <w:rFonts w:hint="eastAsia" w:ascii="仿宋" w:hAnsi="仿宋" w:eastAsia="仿宋" w:cs="仿宋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highlight w:val="none"/>
        </w:rPr>
        <w:t>下级上解</w:t>
      </w:r>
      <w:r>
        <w:rPr>
          <w:rFonts w:hint="eastAsia" w:ascii="仿宋" w:hAnsi="仿宋" w:eastAsia="仿宋" w:cs="仿宋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highlight w:val="none"/>
        </w:rPr>
        <w:t>本级支出</w:t>
      </w:r>
      <w:r>
        <w:rPr>
          <w:rFonts w:hint="eastAsia" w:ascii="仿宋" w:hAnsi="仿宋" w:eastAsia="仿宋" w:cs="仿宋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highlight w:val="none"/>
        </w:rPr>
        <w:t>补助下级和上解上级等项目，全面反映县级预算各项收支情况</w:t>
      </w:r>
      <w:r>
        <w:rPr>
          <w:rFonts w:hint="eastAsia" w:ascii="仿宋" w:hAnsi="仿宋" w:eastAsia="仿宋" w:cs="仿宋"/>
          <w:highlight w:val="none"/>
          <w:lang w:eastAsia="zh-CN"/>
        </w:rPr>
        <w:t>。</w:t>
      </w:r>
    </w:p>
    <w:p w14:paraId="5FEBB6E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四</w:t>
      </w:r>
      <w:r>
        <w:rPr>
          <w:rFonts w:hint="eastAsia" w:ascii="仿宋" w:hAnsi="仿宋" w:eastAsia="仿宋" w:cs="仿宋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highlight w:val="none"/>
        </w:rPr>
        <w:t>部分总数与分项加总数略有差异，主要是相关数据以万元为单位，四舍五入因素所致。</w:t>
      </w:r>
    </w:p>
    <w:p w14:paraId="378E9371">
      <w:pPr>
        <w:rPr>
          <w:rFonts w:hint="eastAsia"/>
          <w:highlight w:val="none"/>
        </w:rPr>
      </w:pPr>
      <w:r>
        <w:rPr>
          <w:rFonts w:hint="eastAsia"/>
          <w:highlight w:val="none"/>
        </w:rPr>
        <w:br w:type="page"/>
      </w:r>
    </w:p>
    <w:p w14:paraId="7CCD7004">
      <w:pPr>
        <w:ind w:left="0" w:leftChars="0" w:firstLine="0" w:firstLineChars="0"/>
        <w:rPr>
          <w:rFonts w:hint="eastAsia"/>
          <w:highlight w:val="none"/>
        </w:rPr>
      </w:pPr>
      <w:r>
        <w:rPr>
          <w:rFonts w:hint="eastAsia"/>
          <w:highlight w:val="none"/>
        </w:rPr>
        <w:br w:type="page"/>
      </w:r>
    </w:p>
    <w:p w14:paraId="15E62E1C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/>
          <w:sz w:val="44"/>
          <w:szCs w:val="44"/>
          <w:highlight w:val="none"/>
          <w:lang w:val="en-US" w:eastAsia="zh-CN"/>
        </w:rPr>
      </w:pPr>
      <w:bookmarkStart w:id="1" w:name="_Toc14386"/>
      <w:bookmarkStart w:id="2" w:name="_Toc23556"/>
      <w:r>
        <w:rPr>
          <w:rFonts w:hint="default"/>
          <w:sz w:val="44"/>
          <w:szCs w:val="44"/>
          <w:highlight w:val="none"/>
          <w:lang w:val="en-US" w:eastAsia="zh-CN"/>
        </w:rPr>
        <w:t>预算报表说明</w:t>
      </w:r>
      <w:bookmarkEnd w:id="1"/>
    </w:p>
    <w:p w14:paraId="36FE9FB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黑体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/>
          <w:sz w:val="32"/>
          <w:highlight w:val="none"/>
          <w:lang w:val="en-US" w:eastAsia="zh-CN"/>
        </w:rPr>
        <w:t>表一</w:t>
      </w:r>
    </w:p>
    <w:p w14:paraId="4313679B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</w:pPr>
      <w:bookmarkStart w:id="3" w:name="_Toc9446"/>
      <w:bookmarkStart w:id="4" w:name="_Toc16428"/>
      <w:bookmarkStart w:id="5" w:name="_Toc23405"/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  <w:t>2025年民权县一般公共预算收入分项完成情况表</w:t>
      </w:r>
      <w:bookmarkEnd w:id="3"/>
      <w:bookmarkEnd w:id="4"/>
      <w:bookmarkEnd w:id="5"/>
    </w:p>
    <w:p w14:paraId="17FD6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单位：万元</w:t>
      </w:r>
    </w:p>
    <w:tbl>
      <w:tblPr>
        <w:tblStyle w:val="1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6"/>
        <w:gridCol w:w="1056"/>
        <w:gridCol w:w="1176"/>
        <w:gridCol w:w="1265"/>
        <w:gridCol w:w="1359"/>
        <w:gridCol w:w="1292"/>
      </w:tblGrid>
      <w:tr w14:paraId="0A13B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9B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A3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调整</w:t>
            </w:r>
          </w:p>
          <w:p w14:paraId="427AC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预算数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90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累计完成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C6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上年同期完成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E5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为调整预算数%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08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同比同期±％</w:t>
            </w:r>
          </w:p>
        </w:tc>
      </w:tr>
      <w:tr w14:paraId="3D18F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FC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D7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81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B6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2A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4C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96BA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98C2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一般公共预算收入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189F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136,200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C5F4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146,049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A6DD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134,769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C1B8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107.2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8D77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8.4</w:t>
            </w:r>
          </w:p>
        </w:tc>
      </w:tr>
      <w:tr w14:paraId="279E1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0183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税收收入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4410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82,000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4379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82,371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A532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81,414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3D1E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6DEC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</w:t>
            </w:r>
          </w:p>
        </w:tc>
      </w:tr>
      <w:tr w14:paraId="0C06D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9498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国内增值税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D302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38,000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DB12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37,806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3C1C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34,953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B4DB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B2B0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8.2</w:t>
            </w:r>
          </w:p>
        </w:tc>
      </w:tr>
      <w:tr w14:paraId="6B627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B6BB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企业所得税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D2F0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5,600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95B1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5,652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44B2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5,858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FC7D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FBD7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-3.5</w:t>
            </w:r>
          </w:p>
        </w:tc>
      </w:tr>
      <w:tr w14:paraId="360F3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A657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个人所得税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3F23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1,500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0C79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1,606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2240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423B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107.1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A149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42.1</w:t>
            </w:r>
          </w:p>
        </w:tc>
      </w:tr>
      <w:tr w14:paraId="52A75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AE87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资源税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D8B9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9,200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6D11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9,238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9DCC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2,914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8658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BE87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217.0</w:t>
            </w:r>
          </w:p>
        </w:tc>
      </w:tr>
      <w:tr w14:paraId="16737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9B74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城市维护建设税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892F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3,200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E0D2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3,364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0353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EC3A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105.1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2D79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22.3</w:t>
            </w:r>
          </w:p>
        </w:tc>
      </w:tr>
      <w:tr w14:paraId="45B93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696B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房产税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517D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2,700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E943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2,822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35D9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ED00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5D2B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17.8</w:t>
            </w:r>
          </w:p>
        </w:tc>
      </w:tr>
      <w:tr w14:paraId="6BFEC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1CC7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印花税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FE35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1,300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D608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1,298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F32B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5C0B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85DF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-8.3</w:t>
            </w:r>
          </w:p>
        </w:tc>
      </w:tr>
      <w:tr w14:paraId="2F8F8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55A1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城镇土地使用税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9200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7,100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389E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7,122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0825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6CE9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32A3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36.4</w:t>
            </w:r>
          </w:p>
        </w:tc>
      </w:tr>
      <w:tr w14:paraId="61431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0843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土地增值税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376B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2,100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81B1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2,257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5F5C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4,340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3FD4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8040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-48.0</w:t>
            </w:r>
          </w:p>
        </w:tc>
      </w:tr>
      <w:tr w14:paraId="30EF0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C3C6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车船税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DC1E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3,200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2FD2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3,220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7247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7,028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BC0F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C022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-54.2</w:t>
            </w:r>
          </w:p>
        </w:tc>
      </w:tr>
      <w:tr w14:paraId="6D49F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3CA6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耕地占用税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FAE4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1,800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8853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1,812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4DDA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9378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25EA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-66.0</w:t>
            </w:r>
          </w:p>
        </w:tc>
      </w:tr>
      <w:tr w14:paraId="6A8F8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2B63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契税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D272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5,800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0B1A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5,628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35AC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7,432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CC8A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97.0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3470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-24.3</w:t>
            </w:r>
          </w:p>
        </w:tc>
      </w:tr>
      <w:tr w14:paraId="38052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87EF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环境保护税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C773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6BAF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596D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7D12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109.0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1AE4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-15.9</w:t>
            </w:r>
          </w:p>
        </w:tc>
      </w:tr>
      <w:tr w14:paraId="3B8A0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236C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其他税收收入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B5308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1CEA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4ECB5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EB40F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D4B22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02AD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D709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非税收入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7810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54,200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552C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63,678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52CB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53,355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923A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EB03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19.3</w:t>
            </w:r>
          </w:p>
        </w:tc>
      </w:tr>
      <w:tr w14:paraId="67FD8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249C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专项收入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E51D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2,700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FAD0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3,161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093B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8183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117.1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7074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22.8</w:t>
            </w:r>
          </w:p>
        </w:tc>
      </w:tr>
      <w:tr w14:paraId="0D1C6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AE95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行政事业性收费收入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FEDF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3,200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01EB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1,577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80F2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C6A8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6F06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-33.5</w:t>
            </w:r>
          </w:p>
        </w:tc>
      </w:tr>
      <w:tr w14:paraId="05719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A33F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罚没收入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782C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12,300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9CA0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5,877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8545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6,168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F749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5912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-4.7</w:t>
            </w:r>
          </w:p>
        </w:tc>
      </w:tr>
      <w:tr w14:paraId="17784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370F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国有资源(资产)有偿使用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5719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35,800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DE03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52,894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B5FD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42,004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F8F2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147.7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C258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25.9</w:t>
            </w:r>
          </w:p>
        </w:tc>
      </w:tr>
      <w:tr w14:paraId="6301E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0CF4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捐赠收入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761D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A9CB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9226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72E6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33BD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-26.8</w:t>
            </w:r>
          </w:p>
        </w:tc>
      </w:tr>
      <w:tr w14:paraId="09C6A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440E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其他收入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437FF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E45AC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C294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7A884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E024D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6F762B2E">
      <w:pPr>
        <w:pStyle w:val="2"/>
        <w:rPr>
          <w:rFonts w:hint="default"/>
          <w:highlight w:val="none"/>
          <w:lang w:val="en-US" w:eastAsia="zh-CN"/>
        </w:rPr>
      </w:pPr>
    </w:p>
    <w:p w14:paraId="2947744D">
      <w:pPr>
        <w:rPr>
          <w:rFonts w:hint="default" w:ascii="Times New Roman" w:hAnsi="Times New Roman" w:eastAsia="方正小标宋_GBK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highlight w:val="none"/>
          <w:lang w:val="en-US" w:eastAsia="zh-CN"/>
        </w:rPr>
        <w:br w:type="page"/>
      </w:r>
    </w:p>
    <w:p w14:paraId="3AD89DE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bookmarkStart w:id="6" w:name="_Toc3520"/>
      <w:bookmarkStart w:id="7" w:name="_Toc25116"/>
      <w:bookmarkStart w:id="8" w:name="_Toc11817"/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关于2025年全县一般公共预算收入执行情况的说明</w:t>
      </w:r>
      <w:bookmarkEnd w:id="6"/>
      <w:bookmarkEnd w:id="7"/>
      <w:bookmarkEnd w:id="8"/>
    </w:p>
    <w:p w14:paraId="6853D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/>
          <w:highlight w:val="none"/>
        </w:rPr>
      </w:pPr>
    </w:p>
    <w:p w14:paraId="12754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汇总全县各级人代会批准的2025年一般公共预算收入年初预算为142200万元，汇总全县各级人代会批准的2025年一般公共预算收入调整预算为136200万元。2025年，全县一般公共预算收入完成146049万元，完成调整预算107.2%，同比增长8.4%。其中，全县地方税收收入完成82371万元，完成调整预算100.5%，同比增长1.2%，占一般公共预算收入的56.4%。非税收入完成63678万元，完成调整预算117.5%，增长19.3%，占一般公共预算收入的43.6%。主要项目执行情况是：</w:t>
      </w:r>
    </w:p>
    <w:p w14:paraId="0786F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1.增值税完成37806万元，完成调整预算99.5%，同比增长8.2%。</w:t>
      </w:r>
    </w:p>
    <w:p w14:paraId="57ECA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2.企业所得税完成5652万元，完成调整预算100.9%，同比下降3.5%。</w:t>
      </w:r>
    </w:p>
    <w:p w14:paraId="74C56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3.个人所得税完成1606万元，完成调整预算107.1%，同比增长42.1%。</w:t>
      </w:r>
    </w:p>
    <w:p w14:paraId="02F7B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4.资源税完成9238万元，完成调整预算100.4%，同比增长217%。</w:t>
      </w:r>
    </w:p>
    <w:p w14:paraId="3CE55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5.城市维护建设税完成3364万元，完成调整预算105.1%，同比增长22.3%。</w:t>
      </w:r>
    </w:p>
    <w:p w14:paraId="50BAF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6.房产税完成2822万元，完成调整预算104.5%，同比增长17.8%。</w:t>
      </w:r>
    </w:p>
    <w:p w14:paraId="1D502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7.印花税完成1298万元，完成调整预算99.8%，同比下降8.3%。</w:t>
      </w:r>
    </w:p>
    <w:p w14:paraId="40A04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8.城镇土地使用税完成7122万元，完成调整预算100.3%，同比增长36.4%。</w:t>
      </w:r>
    </w:p>
    <w:p w14:paraId="3DCA1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9.土地增值税完成2257万元，完成调整预算107.5%，同比下降48%。</w:t>
      </w:r>
    </w:p>
    <w:p w14:paraId="1B963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10.车船税完成3220万元，完成调整预算100.6%，同比下降54.2%。</w:t>
      </w:r>
    </w:p>
    <w:p w14:paraId="33E6F40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ind w:firstLine="640" w:firstLineChars="200"/>
        <w:jc w:val="left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11.耕地占用税完成1812万元，完成调整预算100.7%，同比下降66%。</w:t>
      </w:r>
    </w:p>
    <w:p w14:paraId="5D2E516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ind w:firstLine="640" w:firstLineChars="200"/>
        <w:jc w:val="left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12.契税完成5628万元，完成调整预算97%，同比下降24.3%。</w:t>
      </w:r>
    </w:p>
    <w:p w14:paraId="2D56368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ind w:firstLine="640" w:firstLineChars="200"/>
        <w:jc w:val="left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13.环境保护税完成545万元，完成调整预算109%，同比下降15.9%。</w:t>
      </w:r>
    </w:p>
    <w:p w14:paraId="1A37910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ind w:firstLine="640" w:firstLineChars="200"/>
        <w:jc w:val="left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14.专项收入完成3161万元，完成调整预算117.1%，同比增长22.8%。</w:t>
      </w:r>
    </w:p>
    <w:p w14:paraId="1A322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15.行政事业性收费收入完成1577万元，完成调整预算49.3%，同比下降33.5%。</w:t>
      </w:r>
    </w:p>
    <w:p w14:paraId="6407E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16.罚没收入完成5877万元，完成调整预算47.8%，同比下降4.7%。</w:t>
      </w:r>
    </w:p>
    <w:p w14:paraId="2C964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17.国有资源（资产）有偿使用收入完成52894万元，完成调整预算147.7%，同比增长25.9%。</w:t>
      </w:r>
    </w:p>
    <w:p w14:paraId="38DFA2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jc w:val="left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18.捐赠收入完成169万元，完成调整预算84.5%，同比下降26.8%。</w:t>
      </w:r>
    </w:p>
    <w:p w14:paraId="7C2CD234">
      <w:pPr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br w:type="page"/>
      </w:r>
    </w:p>
    <w:p w14:paraId="516D66B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黑体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/>
          <w:sz w:val="32"/>
          <w:highlight w:val="none"/>
          <w:lang w:val="en-US" w:eastAsia="zh-CN"/>
        </w:rPr>
        <w:t>表二</w:t>
      </w:r>
    </w:p>
    <w:p w14:paraId="76C2556F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</w:pPr>
      <w:bookmarkStart w:id="9" w:name="_Toc32118"/>
      <w:bookmarkStart w:id="10" w:name="_Toc25053"/>
      <w:bookmarkStart w:id="11" w:name="_Toc6402"/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  <w:t>2025年民权县一般公共预算支出分项完成情况表</w:t>
      </w:r>
      <w:bookmarkEnd w:id="9"/>
      <w:bookmarkEnd w:id="10"/>
      <w:bookmarkEnd w:id="11"/>
    </w:p>
    <w:p w14:paraId="63267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单位：万元</w:t>
      </w:r>
    </w:p>
    <w:tbl>
      <w:tblPr>
        <w:tblStyle w:val="14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0"/>
        <w:gridCol w:w="1131"/>
        <w:gridCol w:w="1131"/>
        <w:gridCol w:w="1131"/>
        <w:gridCol w:w="1140"/>
        <w:gridCol w:w="1127"/>
      </w:tblGrid>
      <w:tr w14:paraId="290F0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9D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6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B5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调整预算数</w:t>
            </w:r>
          </w:p>
        </w:tc>
        <w:tc>
          <w:tcPr>
            <w:tcW w:w="6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B4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累计完成</w:t>
            </w:r>
          </w:p>
        </w:tc>
        <w:tc>
          <w:tcPr>
            <w:tcW w:w="6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34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上年同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期完成</w:t>
            </w:r>
          </w:p>
        </w:tc>
        <w:tc>
          <w:tcPr>
            <w:tcW w:w="6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6A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为调整预算数%</w:t>
            </w:r>
          </w:p>
        </w:tc>
        <w:tc>
          <w:tcPr>
            <w:tcW w:w="6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04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同比同期±％</w:t>
            </w:r>
          </w:p>
        </w:tc>
      </w:tr>
      <w:tr w14:paraId="655D4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2AD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794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143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1D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D8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DBB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0F9F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087A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一般公共预算支出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4D2E8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431,545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88208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429,465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E8C43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438,696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793B6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99.5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2EBD6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-2.1</w:t>
            </w:r>
          </w:p>
        </w:tc>
      </w:tr>
      <w:tr w14:paraId="13456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BF1A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一般公共服务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EAD9F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59,945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73A57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59,945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B1B9A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49,800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F778D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F418C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20.4</w:t>
            </w:r>
          </w:p>
        </w:tc>
      </w:tr>
      <w:tr w14:paraId="02FF5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5D8E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国防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F703A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E31CA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023EC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11401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0D456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141.3</w:t>
            </w:r>
          </w:p>
        </w:tc>
      </w:tr>
      <w:tr w14:paraId="127C2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A0AC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公共安全支出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FF15E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15,863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E6529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15,863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DE4E3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17,372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A2E6E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812AA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-8.7</w:t>
            </w:r>
          </w:p>
        </w:tc>
      </w:tr>
      <w:tr w14:paraId="24C0D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155D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158D5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95,426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73A1F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93,346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2D866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87,735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485DE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97.8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F91D2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6.4</w:t>
            </w:r>
          </w:p>
        </w:tc>
      </w:tr>
      <w:tr w14:paraId="02AF3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AD1C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科学技术支出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15036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28,009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13E08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28,009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AE5BB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31,027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06666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097FA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-9.7</w:t>
            </w:r>
          </w:p>
        </w:tc>
      </w:tr>
      <w:tr w14:paraId="0206F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C0A4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文化体育与传媒支出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DDBF3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2,328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8738C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2,328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17120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3,100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7A3F7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BDDF8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-24.9</w:t>
            </w:r>
          </w:p>
        </w:tc>
      </w:tr>
      <w:tr w14:paraId="36356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FE09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社会保障与就业支出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CD086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70,253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DD147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70,253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FFB31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67,794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2C604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C6AA1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3.6</w:t>
            </w:r>
          </w:p>
        </w:tc>
      </w:tr>
      <w:tr w14:paraId="5B1BD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7624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34759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34,498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66F18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34,498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996B1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33,676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F666B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1F334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2.4</w:t>
            </w:r>
          </w:p>
        </w:tc>
      </w:tr>
      <w:tr w14:paraId="4BFA9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E860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节能环保支出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BB585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5,492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AF8E9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5,492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9CA26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4,120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06DDE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185E6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33.3</w:t>
            </w:r>
          </w:p>
        </w:tc>
      </w:tr>
      <w:tr w14:paraId="24C52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DF0A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城乡社区支出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AE4DF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7,423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61CDD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7,423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C5331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14,792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7E65C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8DF10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-49.8</w:t>
            </w:r>
          </w:p>
        </w:tc>
      </w:tr>
      <w:tr w14:paraId="53C90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9ED2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农林水事务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1D588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68,039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10F44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68,039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5BC60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91,494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59510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B9EFE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-25.6</w:t>
            </w:r>
          </w:p>
        </w:tc>
      </w:tr>
      <w:tr w14:paraId="670D5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376A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交通运输支出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A6014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13,951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02CFC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13,951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644BD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12,649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BACE3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5B95C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10.3</w:t>
            </w:r>
          </w:p>
        </w:tc>
      </w:tr>
      <w:tr w14:paraId="71EF9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D067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资源勘探工业信息等支出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39AE1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FE4A8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62891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619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29CF2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984DF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-69.3</w:t>
            </w:r>
          </w:p>
        </w:tc>
      </w:tr>
      <w:tr w14:paraId="3A145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058F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商业服务业等支出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B9DA0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1,611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01B36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1,611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5FFCD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3CACE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53546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164.1</w:t>
            </w:r>
          </w:p>
        </w:tc>
      </w:tr>
      <w:tr w14:paraId="555BC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5D33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自然资源海洋气象等支出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9754B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1,978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569B7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1,978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950AE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3,698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BC9CF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7172E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-46.5</w:t>
            </w:r>
          </w:p>
        </w:tc>
      </w:tr>
      <w:tr w14:paraId="76AA5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865B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21DBD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17,250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4783F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17,250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B0C3E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10,904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039A9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D2D3A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58.2</w:t>
            </w:r>
          </w:p>
        </w:tc>
      </w:tr>
      <w:tr w14:paraId="18E44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C117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粮油物资储备支出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4D156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741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5119D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741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22FD3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477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B6F82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EA63C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55.3</w:t>
            </w:r>
          </w:p>
        </w:tc>
      </w:tr>
      <w:tr w14:paraId="657BE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30EF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预备费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4D628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A218A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6524C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3A6B0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8B232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D059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4C89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灾害防治及应急管理支出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62E44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2,404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42EA6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2,404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4DD09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3,119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96678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92101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-22.9</w:t>
            </w:r>
          </w:p>
        </w:tc>
      </w:tr>
      <w:tr w14:paraId="02616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1C2D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债务付息支出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C7B98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5,249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500F2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5,249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FCDE6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5,274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25B98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D6625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-0.5</w:t>
            </w:r>
          </w:p>
        </w:tc>
      </w:tr>
      <w:tr w14:paraId="72147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9142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2DE2E">
            <w:pPr>
              <w:spacing w:line="240" w:lineRule="auto"/>
              <w:ind w:firstLine="0" w:firstLineChars="0"/>
              <w:jc w:val="right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712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77584">
            <w:pPr>
              <w:spacing w:line="240" w:lineRule="auto"/>
              <w:ind w:firstLine="0" w:firstLineChars="0"/>
              <w:jc w:val="right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712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159DB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361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059CA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20409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97.2</w:t>
            </w:r>
          </w:p>
        </w:tc>
      </w:tr>
      <w:tr w14:paraId="41A91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2124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债务发行费用支出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5FEAC">
            <w:pPr>
              <w:spacing w:line="240" w:lineRule="auto"/>
              <w:ind w:firstLine="0" w:firstLineChars="0"/>
              <w:jc w:val="right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9F7A6">
            <w:pPr>
              <w:spacing w:line="240" w:lineRule="auto"/>
              <w:ind w:firstLine="0" w:firstLineChars="0"/>
              <w:jc w:val="right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CD9BA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03181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FF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4C31C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FF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72930BB6">
      <w:pPr>
        <w:pStyle w:val="2"/>
        <w:rPr>
          <w:rFonts w:hint="default"/>
          <w:highlight w:val="none"/>
          <w:lang w:val="en-US" w:eastAsia="zh-CN"/>
        </w:rPr>
      </w:pPr>
    </w:p>
    <w:p w14:paraId="3F664950">
      <w:pPr>
        <w:rPr>
          <w:rFonts w:hint="default" w:ascii="Times New Roman" w:hAnsi="Times New Roman" w:eastAsia="方正小标宋_GBK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highlight w:val="none"/>
        </w:rPr>
        <w:br w:type="page"/>
      </w:r>
    </w:p>
    <w:p w14:paraId="4E1BC45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center"/>
        <w:textAlignment w:val="auto"/>
        <w:rPr>
          <w:rFonts w:hint="default" w:eastAsia="方正小标宋_GBK"/>
          <w:sz w:val="36"/>
          <w:highlight w:val="none"/>
          <w:lang w:val="en-US" w:eastAsia="zh-CN"/>
        </w:rPr>
      </w:pPr>
      <w:bookmarkStart w:id="12" w:name="_Toc14363"/>
      <w:bookmarkStart w:id="13" w:name="_Toc28089"/>
      <w:bookmarkStart w:id="14" w:name="_Toc6708"/>
      <w:r>
        <w:rPr>
          <w:rFonts w:hint="default" w:eastAsia="方正小标宋_GBK"/>
          <w:sz w:val="36"/>
          <w:highlight w:val="none"/>
          <w:lang w:val="en-US" w:eastAsia="zh-CN"/>
        </w:rPr>
        <w:t>关于202</w:t>
      </w:r>
      <w:r>
        <w:rPr>
          <w:rFonts w:hint="eastAsia" w:eastAsia="方正小标宋_GBK"/>
          <w:sz w:val="36"/>
          <w:highlight w:val="none"/>
          <w:lang w:val="en-US" w:eastAsia="zh-CN"/>
        </w:rPr>
        <w:t>5</w:t>
      </w:r>
      <w:r>
        <w:rPr>
          <w:rFonts w:hint="default" w:eastAsia="方正小标宋_GBK"/>
          <w:sz w:val="36"/>
          <w:highlight w:val="none"/>
          <w:lang w:val="en-US" w:eastAsia="zh-CN"/>
        </w:rPr>
        <w:t>年全县一般公共预算支出执行情况的说明</w:t>
      </w:r>
      <w:bookmarkEnd w:id="12"/>
      <w:bookmarkEnd w:id="13"/>
      <w:bookmarkEnd w:id="14"/>
    </w:p>
    <w:p w14:paraId="42CFF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/>
          <w:highlight w:val="none"/>
        </w:rPr>
      </w:pPr>
    </w:p>
    <w:p w14:paraId="3495D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2025年，经各级人大批准，全县一般公共财政支出预算总额为411800万元（含当年财力安排、提前告知专项转移支付、提前下达地方政府债券、上年结余结转等资金）。执行过程中，因上级补助增加、新增政府债券等因素调整后，支出预算为431545万元。全年实际完成支出429465万元，完成调整预算的99.5%，同比下降2.1%。主要支出项目执行情况如下：</w:t>
      </w:r>
    </w:p>
    <w:p w14:paraId="17250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1.一般公共服务支出：59945万元，完成调整预算的100%，同比增长20.4%。</w:t>
      </w:r>
    </w:p>
    <w:p w14:paraId="1CC06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2.公共安全支出：15863万元，完成调整预算的100%，同比下降8.7%。</w:t>
      </w:r>
    </w:p>
    <w:p w14:paraId="0261C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3.教育支出：93346万元，完成调整预算的97.8%，同比增长6.4%。</w:t>
      </w:r>
    </w:p>
    <w:p w14:paraId="6D1F0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4.科学技术支出：28009万元，完成调整预算的100%，同比下降9.7%。</w:t>
      </w:r>
    </w:p>
    <w:p w14:paraId="36613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5.文化体育与传媒支出：2328万元，完成调整预算的100%，同比下降24.9%。</w:t>
      </w:r>
    </w:p>
    <w:p w14:paraId="05306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6.社会保障和就业支出：70253万元，完成调整预算的100%，同比增长3.6%。</w:t>
      </w:r>
    </w:p>
    <w:p w14:paraId="05ED5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7.卫生健康支出：34498万元，完成调整预算的100%，同比增长2.4%。</w:t>
      </w:r>
    </w:p>
    <w:p w14:paraId="08A9B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8.节能环保支出：5492万元，完成调整预算的100%，同比增长33.3%。</w:t>
      </w:r>
    </w:p>
    <w:p w14:paraId="3A0F8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9.城乡社区支出：7423万元，完成调整预算的100%，同比下降49.8%。</w:t>
      </w:r>
    </w:p>
    <w:p w14:paraId="6A4B7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10.农林水事务支出：68039万元，完成调整预算的100%，同比下降25.6%。</w:t>
      </w:r>
    </w:p>
    <w:p w14:paraId="7C93D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11.交通运输支出：13951万元，完成调整预算的100%，同比增长10.3%。</w:t>
      </w:r>
    </w:p>
    <w:p w14:paraId="499E9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12.资源勘探电力信息等支出：190万元，完成调整预算的100%，同比下降69.3%。</w:t>
      </w:r>
    </w:p>
    <w:p w14:paraId="480A3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13.商业服务业等支出：1611万元，完成调整预算的100%，同比增长164.1%。</w:t>
      </w:r>
    </w:p>
    <w:p w14:paraId="46940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14.自然资源海洋气象等事务支出：1978万元，完成调整预算的100%，同比下降46.5%。</w:t>
      </w:r>
    </w:p>
    <w:p w14:paraId="7F393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15.住房保障支出：17250万元，完成调整预算的100%，同比增长58.2%。</w:t>
      </w:r>
    </w:p>
    <w:p w14:paraId="7911D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16.粮油物资储备支出：741万元，完成调整预算的100%，同比增长55.3%。</w:t>
      </w:r>
    </w:p>
    <w:p w14:paraId="399606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17.灾害防治及应急管理支出：2404万元，完成调整预算的100%，同比下降22.9%。</w:t>
      </w:r>
    </w:p>
    <w:p w14:paraId="55C41BF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18.债务付息支出：5249万元，完成调整预算的100%，同比下降0.5%。</w:t>
      </w:r>
    </w:p>
    <w:p w14:paraId="2603CB7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19.其他支出：712万元，完成调整预算的100%，同比增长97.2%。</w:t>
      </w:r>
      <w:r>
        <w:rPr>
          <w:rFonts w:hint="default" w:ascii="仿宋" w:hAnsi="仿宋" w:eastAsia="仿宋" w:cs="仿宋"/>
          <w:highlight w:val="none"/>
        </w:rPr>
        <w:br w:type="page"/>
      </w:r>
    </w:p>
    <w:p w14:paraId="1236EEE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黑体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/>
          <w:sz w:val="32"/>
          <w:highlight w:val="none"/>
          <w:lang w:val="en-US" w:eastAsia="zh-CN"/>
        </w:rPr>
        <w:t>表三</w:t>
      </w:r>
    </w:p>
    <w:p w14:paraId="35AAB01A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</w:pPr>
      <w:bookmarkStart w:id="15" w:name="_Toc29777"/>
      <w:bookmarkStart w:id="16" w:name="_Toc24756"/>
      <w:bookmarkStart w:id="17" w:name="_Toc16911"/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  <w:t>2025年民权县本级一般公共预算收入分项完成情况表</w:t>
      </w:r>
      <w:bookmarkEnd w:id="15"/>
      <w:bookmarkEnd w:id="16"/>
      <w:bookmarkEnd w:id="17"/>
    </w:p>
    <w:p w14:paraId="7E360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单位：万元</w:t>
      </w:r>
    </w:p>
    <w:tbl>
      <w:tblPr>
        <w:tblStyle w:val="1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6"/>
        <w:gridCol w:w="1117"/>
        <w:gridCol w:w="1117"/>
        <w:gridCol w:w="1047"/>
        <w:gridCol w:w="1185"/>
        <w:gridCol w:w="1122"/>
      </w:tblGrid>
      <w:tr w14:paraId="22FD8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E8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6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8F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调整</w:t>
            </w:r>
          </w:p>
          <w:p w14:paraId="6E231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预算数</w:t>
            </w:r>
          </w:p>
        </w:tc>
        <w:tc>
          <w:tcPr>
            <w:tcW w:w="6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E2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累计完成</w:t>
            </w:r>
          </w:p>
        </w:tc>
        <w:tc>
          <w:tcPr>
            <w:tcW w:w="5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44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上年同期完成</w:t>
            </w:r>
          </w:p>
        </w:tc>
        <w:tc>
          <w:tcPr>
            <w:tcW w:w="65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82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为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调整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预算数%</w:t>
            </w:r>
          </w:p>
        </w:tc>
        <w:tc>
          <w:tcPr>
            <w:tcW w:w="6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35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同比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同期±％</w:t>
            </w:r>
          </w:p>
        </w:tc>
      </w:tr>
      <w:tr w14:paraId="7BCE0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1B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2D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B41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4F8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0B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85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562A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5ED2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一般公共预算收入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002FB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48,200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4B32E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61,583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E4906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51,537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B12A9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127.8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F56BD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19.5</w:t>
            </w:r>
          </w:p>
        </w:tc>
      </w:tr>
      <w:tr w14:paraId="58C86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7C0E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税收收入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7791D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22,000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1E937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40,709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66F51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32,388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F3C76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185.0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DDE57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25.7</w:t>
            </w:r>
          </w:p>
        </w:tc>
      </w:tr>
      <w:tr w14:paraId="02E88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9D63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国内增值税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05FE3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8,600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86889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14,762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73844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13,050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3EF3D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171.7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AC2A0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13.1</w:t>
            </w:r>
          </w:p>
        </w:tc>
      </w:tr>
      <w:tr w14:paraId="71DDB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A8AC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企业所得税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BC1C7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1,300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0DAC6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2,662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BF1AF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3,221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01BAF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204.8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48457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-17.4</w:t>
            </w:r>
          </w:p>
        </w:tc>
      </w:tr>
      <w:tr w14:paraId="53639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A32B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个人所得税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3030C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DD0F4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63B86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85F33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31.8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0483F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-18.4</w:t>
            </w:r>
          </w:p>
        </w:tc>
      </w:tr>
      <w:tr w14:paraId="20F8A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3D0B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资源税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F518D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4,100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72C31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9,002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68470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2,582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11E3E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219.6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E62FB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248.6</w:t>
            </w:r>
          </w:p>
        </w:tc>
      </w:tr>
      <w:tr w14:paraId="14B81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421E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城市维护建设税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90615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1,300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7478A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1,100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70F27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977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38432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84.6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E9CE1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12.6</w:t>
            </w:r>
          </w:p>
        </w:tc>
      </w:tr>
      <w:tr w14:paraId="5DE81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E55A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房产税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DD431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112B9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1,074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F2590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1,005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2ED48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1074.0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E3001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6.9</w:t>
            </w:r>
          </w:p>
        </w:tc>
      </w:tr>
      <w:tr w14:paraId="5CCDC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FD44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印花税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02197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55799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281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A6066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B3D81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93.7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F438E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-48.2</w:t>
            </w:r>
          </w:p>
        </w:tc>
      </w:tr>
      <w:tr w14:paraId="69C52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6528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城镇土地使用税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254C3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2,300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C1F98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4,267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9EFCA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1,758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B49A5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185.5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24D38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142.7</w:t>
            </w:r>
          </w:p>
        </w:tc>
      </w:tr>
      <w:tr w14:paraId="28A86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A966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土地增值税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CEFF7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CC435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2,037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277CB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2,480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8A120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291.0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D6F7F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-17.9</w:t>
            </w:r>
          </w:p>
        </w:tc>
      </w:tr>
      <w:tr w14:paraId="0D305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2FA4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车船税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EE9DE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2,200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BEB07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3,220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1DC47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1,174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D51B9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146.4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2D6DC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174.3</w:t>
            </w:r>
          </w:p>
        </w:tc>
      </w:tr>
      <w:tr w14:paraId="68C8F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9CD1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耕地占用税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EEBC8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76FC0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392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D747B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3,580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20588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78.4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E6D5B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-89.1</w:t>
            </w:r>
          </w:p>
        </w:tc>
      </w:tr>
      <w:tr w14:paraId="245A2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E9D8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契税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78024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2C612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1,604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0F453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1,258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2775A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CD842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27.5</w:t>
            </w:r>
          </w:p>
        </w:tc>
      </w:tr>
      <w:tr w14:paraId="3175F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9309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环境保护税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4941A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26FA2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6101F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2B273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06202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-78.0</w:t>
            </w:r>
          </w:p>
        </w:tc>
      </w:tr>
      <w:tr w14:paraId="69FA6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BD67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其他税收收入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8B550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96D33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FB559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C3EEC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0D4B7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98EE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8810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非税收入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7763E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26,200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D7127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20,874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905F9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19,149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05BF6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79.7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8D144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9.0</w:t>
            </w:r>
          </w:p>
        </w:tc>
      </w:tr>
      <w:tr w14:paraId="3628E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CE44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专项收入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7EAA1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4E2C0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518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B0ECB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C5BEA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126.3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364AF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-7.5</w:t>
            </w:r>
          </w:p>
        </w:tc>
      </w:tr>
      <w:tr w14:paraId="0B7B9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03A9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行政事业性收费收入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9BB1E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3,200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D27C7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1,577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FE5F0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2,371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B46DC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49.3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48E84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-33.5</w:t>
            </w:r>
          </w:p>
        </w:tc>
      </w:tr>
      <w:tr w14:paraId="4B423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8545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罚没收入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16674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12,280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5D75F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5,877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B34F6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6,168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3C3D5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47.9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CEAEA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-4.7</w:t>
            </w:r>
          </w:p>
        </w:tc>
      </w:tr>
      <w:tr w14:paraId="3559F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D100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国有资源(资产)有偿使用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098C0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10,120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FAED6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12,735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2FC21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9,846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5A3A8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125.8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E0524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29.3</w:t>
            </w:r>
          </w:p>
        </w:tc>
      </w:tr>
      <w:tr w14:paraId="24221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6F0B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捐赠收入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9F29D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9436E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E92F4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DAF93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87.9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C6783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-18.1</w:t>
            </w:r>
          </w:p>
        </w:tc>
      </w:tr>
      <w:tr w14:paraId="68052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6DC5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其他收入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118D9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21D11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37A4E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3B53C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EF5D2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605E3D77">
      <w:pPr>
        <w:pStyle w:val="2"/>
        <w:rPr>
          <w:rFonts w:hint="default"/>
          <w:highlight w:val="none"/>
          <w:lang w:val="en-US" w:eastAsia="zh-CN"/>
        </w:rPr>
      </w:pPr>
    </w:p>
    <w:p w14:paraId="060775BF">
      <w:pPr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br w:type="page"/>
      </w:r>
    </w:p>
    <w:p w14:paraId="200E70D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bookmarkStart w:id="18" w:name="_Toc16632"/>
      <w:bookmarkStart w:id="19" w:name="_Toc5792"/>
      <w:bookmarkStart w:id="20" w:name="_Toc22983"/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关于2025年县本级一般公共预算收入执行情况的说明</w:t>
      </w:r>
      <w:bookmarkEnd w:id="18"/>
      <w:bookmarkEnd w:id="19"/>
      <w:bookmarkEnd w:id="20"/>
    </w:p>
    <w:p w14:paraId="68D5D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/>
          <w:highlight w:val="none"/>
          <w:lang w:val="en-US" w:eastAsia="zh-CN"/>
        </w:rPr>
      </w:pPr>
    </w:p>
    <w:p w14:paraId="249AA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2025年县级一般公共预算收入调整预算为48200万元，完成61583万元，完成调整预算127.8%，同比增长19.5%。主要项目执行情况是：</w:t>
      </w:r>
    </w:p>
    <w:p w14:paraId="18320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1.增值税完成14762万元，完成调整预算171.7%，与上年同期相比增长13.1%。</w:t>
      </w:r>
    </w:p>
    <w:p w14:paraId="4C436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2.企业所得税完成2662万元，完成调整预算204.8%，与上年同期相比下降17.4%。</w:t>
      </w:r>
    </w:p>
    <w:p w14:paraId="24272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3.个人所得税完成191万元，完成调整预算31.8%，与上年同期相比下降18.4%。</w:t>
      </w:r>
    </w:p>
    <w:p w14:paraId="29CB7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4.资源税完成9002万元，完成调整预算219.6%，与上年同期相比增长248.6%。</w:t>
      </w:r>
    </w:p>
    <w:p w14:paraId="14A03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5.城市维护建设税完成1100万元，完成调整预算84.6%，与上年同期相比增长12.6%。</w:t>
      </w:r>
    </w:p>
    <w:p w14:paraId="1D4CB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6.房产税完成1074万元，完成调整预算1074%，与上年同期相比增长6.9%。</w:t>
      </w:r>
    </w:p>
    <w:p w14:paraId="2E245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7.印花税完成281万元，完成调整预算93.7%，与上年同期相比下降48.2%。</w:t>
      </w:r>
    </w:p>
    <w:p w14:paraId="69FA2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8.城镇土地使用税完成4267万元，完成调整预算185.5%，与上年同期相比增长142.7%。</w:t>
      </w:r>
    </w:p>
    <w:p w14:paraId="655A7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9.土地增值税完成2037万元，完成调整预算291%，与上年同期相比下降17.9%。</w:t>
      </w:r>
    </w:p>
    <w:p w14:paraId="02E9A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10.车船税完成3220万元，完成调整预算146.4%，与上年同期相比增长174.3%。</w:t>
      </w:r>
    </w:p>
    <w:p w14:paraId="1A600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11.耕地占用税完成392万元，完成调整预算78.4%，与上年同期相比下降89.1%。</w:t>
      </w:r>
    </w:p>
    <w:p w14:paraId="0360B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12.契税完成1604万元，与上年同期相比增长27.5%。</w:t>
      </w:r>
    </w:p>
    <w:p w14:paraId="60759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13.环境保护税完成116万元，与上年同期相比下降78%。</w:t>
      </w:r>
    </w:p>
    <w:p w14:paraId="14146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14.专项收入完成518万元，完成调整预算126.3%，与上年同期相比下降7.5%。</w:t>
      </w:r>
    </w:p>
    <w:p w14:paraId="070A9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15.行政事业性收费收入完成1577万元，完成调整预算49.3%，与上年同期相比下降33.5%。</w:t>
      </w:r>
    </w:p>
    <w:p w14:paraId="5BAC4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16.罚没收入完成5877万元，完成调整预算47.9%，与上年同期相比下降4.7%。</w:t>
      </w:r>
    </w:p>
    <w:p w14:paraId="6AD9E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17.国有资源（资产）有偿使用收入完成12735万元，完成调整预算125.8%，同比增长29.3%。</w:t>
      </w:r>
    </w:p>
    <w:p w14:paraId="784F2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18.捐赠收入完成167万元，完成调整预算87.9%，与上年同期相比下降18.1%。</w:t>
      </w:r>
    </w:p>
    <w:p w14:paraId="313B5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br w:type="page"/>
      </w:r>
    </w:p>
    <w:p w14:paraId="49D9A48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黑体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/>
          <w:sz w:val="32"/>
          <w:highlight w:val="none"/>
          <w:lang w:val="en-US" w:eastAsia="zh-CN"/>
        </w:rPr>
        <w:t>表四</w:t>
      </w:r>
    </w:p>
    <w:p w14:paraId="781FB6FE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</w:pPr>
      <w:bookmarkStart w:id="21" w:name="_Toc26455"/>
      <w:bookmarkStart w:id="22" w:name="_Toc10004"/>
      <w:bookmarkStart w:id="23" w:name="_Toc14417"/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  <w:t>2025年民权县本级一般公共预算支出分项完成情况表</w:t>
      </w:r>
      <w:bookmarkEnd w:id="21"/>
      <w:bookmarkEnd w:id="22"/>
      <w:bookmarkEnd w:id="23"/>
    </w:p>
    <w:p w14:paraId="00AAA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单位：万元</w:t>
      </w:r>
    </w:p>
    <w:tbl>
      <w:tblPr>
        <w:tblStyle w:val="1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099"/>
        <w:gridCol w:w="1099"/>
        <w:gridCol w:w="1099"/>
        <w:gridCol w:w="1099"/>
        <w:gridCol w:w="1100"/>
      </w:tblGrid>
      <w:tr w14:paraId="5F956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0B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9F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调整预算数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2E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累计完成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C8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上年同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期完成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13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为调整预算数%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EA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同比同期±％</w:t>
            </w:r>
          </w:p>
        </w:tc>
      </w:tr>
      <w:tr w14:paraId="5CFAD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474A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一般公共预算支出合计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FD85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379,825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4058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377,745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C5E3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381,505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B6C2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99.5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FC83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-1.0</w:t>
            </w:r>
          </w:p>
        </w:tc>
      </w:tr>
      <w:tr w14:paraId="6F284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F282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一般公共服务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4069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22,868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535D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22,868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E011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27,295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8368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1B73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-16.2</w:t>
            </w:r>
          </w:p>
        </w:tc>
      </w:tr>
      <w:tr w14:paraId="091AF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31F7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国防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1F61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E63A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4208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F6F0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2E6C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141.3</w:t>
            </w:r>
          </w:p>
        </w:tc>
      </w:tr>
      <w:tr w14:paraId="180D0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8F9E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公共安全支出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39F6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15,863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F3F6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15,863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AB66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17,373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26B5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50E2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-8.7</w:t>
            </w:r>
          </w:p>
        </w:tc>
      </w:tr>
      <w:tr w14:paraId="48A32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3F2D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EEE0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95,426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2F0A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93,346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4249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87,735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8025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97.8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08B5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6.4</w:t>
            </w:r>
          </w:p>
        </w:tc>
      </w:tr>
      <w:tr w14:paraId="2D1B0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9A40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科学技术支出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C341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25,358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CEDF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25,358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B31E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10,411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50A4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05F3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143.6</w:t>
            </w:r>
          </w:p>
        </w:tc>
      </w:tr>
      <w:tr w14:paraId="69CE4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AFFC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文化体育与传媒支出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D9DD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2,328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D90C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2,328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4929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3,100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8865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164E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-24.9</w:t>
            </w:r>
          </w:p>
        </w:tc>
      </w:tr>
      <w:tr w14:paraId="2D333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5B47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社会保障与就业支出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D4FC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67,905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234F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67,905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82C4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65,918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0A5D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9BD8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3.0</w:t>
            </w:r>
          </w:p>
        </w:tc>
      </w:tr>
      <w:tr w14:paraId="09080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E007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卫生健康支出支出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1132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33,917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6C60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33,917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2168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33,132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D971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03EA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2.4</w:t>
            </w:r>
          </w:p>
        </w:tc>
      </w:tr>
      <w:tr w14:paraId="369B5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2D8E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节能环保支出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2282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5,462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DA06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5,462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6DF9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4,120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B8E0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4C51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32.6</w:t>
            </w:r>
          </w:p>
        </w:tc>
      </w:tr>
      <w:tr w14:paraId="3A1C0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FB7F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城乡社区支出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3267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7,423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66BA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7,423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E577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14,792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FA10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07DF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-49.8</w:t>
            </w:r>
          </w:p>
        </w:tc>
      </w:tr>
      <w:tr w14:paraId="5E1A6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D1FD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农林水事务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E6A3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60,315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6C03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60,315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E02B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80,904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2E7C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5FE7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-25.4</w:t>
            </w:r>
          </w:p>
        </w:tc>
      </w:tr>
      <w:tr w14:paraId="6ADFF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BB7C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交通运输支出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5015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13,951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36C8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13,951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0010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12,649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72B5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29DE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10.3</w:t>
            </w:r>
          </w:p>
        </w:tc>
      </w:tr>
      <w:tr w14:paraId="3AC50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F180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资源勘探工业信息等支出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07BD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9F25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C6F4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619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655B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C5C4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-69.3</w:t>
            </w:r>
          </w:p>
        </w:tc>
      </w:tr>
      <w:tr w14:paraId="7BDB1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C79A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商业服务业等支出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6E59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1,611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A38F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1,611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57B4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A557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95DD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164.1</w:t>
            </w:r>
          </w:p>
        </w:tc>
      </w:tr>
      <w:tr w14:paraId="13390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72E5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自然资源海洋气象等支出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6121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1,978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327A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1,978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8640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3,696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EE27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2D88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-46.5</w:t>
            </w:r>
          </w:p>
        </w:tc>
      </w:tr>
      <w:tr w14:paraId="2069D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08C2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94AB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16,171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40F2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16,171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D0E4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9,846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81FE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FC58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64.2</w:t>
            </w:r>
          </w:p>
        </w:tc>
      </w:tr>
      <w:tr w14:paraId="43F41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9A59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粮油物资储备支出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3A19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741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6AA2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741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79A8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477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1FF7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65DE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55.3</w:t>
            </w:r>
          </w:p>
        </w:tc>
      </w:tr>
      <w:tr w14:paraId="24EDB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6701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预备费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EDE6A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3B9F5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74717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A45CE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0BC40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3F58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5FB2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灾害防治及应急管理支出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B533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2,404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C9A8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2,404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9751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3,118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6CBB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9805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-22.9</w:t>
            </w:r>
          </w:p>
        </w:tc>
      </w:tr>
      <w:tr w14:paraId="482B2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DDB4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债务付息支出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AE1A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5,249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4A29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5,249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9A18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5,274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EE3A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7162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-0.5</w:t>
            </w:r>
          </w:p>
        </w:tc>
      </w:tr>
      <w:tr w14:paraId="74E48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C78C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4B3E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482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E3ED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482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1557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361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2796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5733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33.5</w:t>
            </w:r>
          </w:p>
        </w:tc>
      </w:tr>
      <w:tr w14:paraId="6B28A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38C4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债务发行费用支出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E3E53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2AA5E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66AFC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8DEA2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20E1D">
            <w:pPr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1E13B532">
      <w:pPr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br w:type="page"/>
      </w:r>
    </w:p>
    <w:p w14:paraId="65ADD40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bookmarkStart w:id="24" w:name="_Toc14714"/>
      <w:bookmarkStart w:id="25" w:name="_Toc20732"/>
      <w:bookmarkStart w:id="26" w:name="_Toc18363"/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关于2025年县本级一般公共预算支出执行情况的说明</w:t>
      </w:r>
      <w:bookmarkEnd w:id="24"/>
      <w:bookmarkEnd w:id="25"/>
      <w:bookmarkEnd w:id="26"/>
    </w:p>
    <w:p w14:paraId="30A13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/>
          <w:highlight w:val="none"/>
        </w:rPr>
      </w:pPr>
    </w:p>
    <w:p w14:paraId="4A77D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202</w:t>
      </w:r>
      <w:r>
        <w:rPr>
          <w:rFonts w:hint="eastAsia" w:ascii="仿宋" w:hAnsi="仿宋" w:eastAsia="仿宋" w:cs="仿宋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highlight w:val="none"/>
        </w:rPr>
        <w:t>年县本级一般公共预算支出预算为</w:t>
      </w:r>
      <w:r>
        <w:rPr>
          <w:rFonts w:hint="eastAsia" w:ascii="仿宋" w:hAnsi="仿宋" w:eastAsia="仿宋" w:cs="仿宋"/>
          <w:highlight w:val="none"/>
          <w:lang w:val="en-US" w:eastAsia="zh-CN"/>
        </w:rPr>
        <w:t>348900</w:t>
      </w:r>
      <w:r>
        <w:rPr>
          <w:rFonts w:hint="eastAsia" w:ascii="仿宋" w:hAnsi="仿宋" w:eastAsia="仿宋" w:cs="仿宋"/>
          <w:highlight w:val="none"/>
          <w:lang w:eastAsia="zh-CN"/>
        </w:rPr>
        <w:t>万元</w:t>
      </w:r>
      <w:r>
        <w:rPr>
          <w:rFonts w:hint="eastAsia" w:ascii="仿宋" w:hAnsi="仿宋" w:eastAsia="仿宋" w:cs="仿宋"/>
          <w:highlight w:val="none"/>
        </w:rPr>
        <w:t>（含当年财力安排</w:t>
      </w:r>
      <w:r>
        <w:rPr>
          <w:rFonts w:hint="eastAsia" w:ascii="仿宋" w:hAnsi="仿宋" w:eastAsia="仿宋" w:cs="仿宋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highlight w:val="none"/>
        </w:rPr>
        <w:t>提前告知专项转移支付</w:t>
      </w:r>
      <w:r>
        <w:rPr>
          <w:rFonts w:hint="eastAsia" w:ascii="仿宋" w:hAnsi="仿宋" w:eastAsia="仿宋" w:cs="仿宋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highlight w:val="none"/>
        </w:rPr>
        <w:t>提前下达地方政府债券</w:t>
      </w:r>
      <w:r>
        <w:rPr>
          <w:rFonts w:hint="eastAsia" w:ascii="仿宋" w:hAnsi="仿宋" w:eastAsia="仿宋" w:cs="仿宋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highlight w:val="none"/>
        </w:rPr>
        <w:t>上年结余结转等资金），再加上年度执行中新增的上级转贷地方政府债券</w:t>
      </w:r>
      <w:r>
        <w:rPr>
          <w:rFonts w:hint="eastAsia" w:ascii="仿宋" w:hAnsi="仿宋" w:eastAsia="仿宋" w:cs="仿宋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highlight w:val="none"/>
        </w:rPr>
        <w:t>追加指标</w:t>
      </w:r>
      <w:r>
        <w:rPr>
          <w:rFonts w:hint="eastAsia" w:ascii="仿宋" w:hAnsi="仿宋" w:eastAsia="仿宋" w:cs="仿宋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highlight w:val="none"/>
        </w:rPr>
        <w:t>转移支付等，减去补助乡镇支出，调整后县本级一般公共预算支出预算数为</w:t>
      </w:r>
      <w:r>
        <w:rPr>
          <w:rFonts w:hint="eastAsia" w:ascii="仿宋" w:hAnsi="仿宋" w:eastAsia="仿宋" w:cs="仿宋"/>
          <w:highlight w:val="none"/>
          <w:lang w:val="en-US" w:eastAsia="zh-CN"/>
        </w:rPr>
        <w:t>379825</w:t>
      </w:r>
      <w:r>
        <w:rPr>
          <w:rFonts w:hint="eastAsia" w:ascii="仿宋" w:hAnsi="仿宋" w:eastAsia="仿宋" w:cs="仿宋"/>
          <w:highlight w:val="none"/>
          <w:lang w:eastAsia="zh-CN"/>
        </w:rPr>
        <w:t>万元</w:t>
      </w:r>
      <w:r>
        <w:rPr>
          <w:rFonts w:hint="eastAsia" w:ascii="仿宋" w:hAnsi="仿宋" w:eastAsia="仿宋" w:cs="仿宋"/>
          <w:highlight w:val="none"/>
        </w:rPr>
        <w:t>。202</w:t>
      </w:r>
      <w:r>
        <w:rPr>
          <w:rFonts w:hint="eastAsia" w:ascii="仿宋" w:hAnsi="仿宋" w:eastAsia="仿宋" w:cs="仿宋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highlight w:val="none"/>
        </w:rPr>
        <w:t>年，县本级一般公共财政支出完成</w:t>
      </w:r>
      <w:r>
        <w:rPr>
          <w:rFonts w:hint="eastAsia" w:ascii="仿宋" w:hAnsi="仿宋" w:eastAsia="仿宋" w:cs="仿宋"/>
          <w:highlight w:val="none"/>
          <w:lang w:val="en-US" w:eastAsia="zh-CN"/>
        </w:rPr>
        <w:t>377745</w:t>
      </w:r>
      <w:r>
        <w:rPr>
          <w:rFonts w:hint="eastAsia" w:ascii="仿宋" w:hAnsi="仿宋" w:eastAsia="仿宋" w:cs="仿宋"/>
          <w:highlight w:val="none"/>
          <w:lang w:eastAsia="zh-CN"/>
        </w:rPr>
        <w:t>万元</w:t>
      </w:r>
      <w:r>
        <w:rPr>
          <w:rFonts w:hint="eastAsia" w:ascii="仿宋" w:hAnsi="仿宋" w:eastAsia="仿宋" w:cs="仿宋"/>
          <w:highlight w:val="none"/>
        </w:rPr>
        <w:t>，为调整预算的</w:t>
      </w:r>
      <w:r>
        <w:rPr>
          <w:rFonts w:hint="eastAsia" w:ascii="仿宋" w:hAnsi="仿宋" w:eastAsia="仿宋" w:cs="仿宋"/>
          <w:highlight w:val="none"/>
          <w:lang w:val="en-US" w:eastAsia="zh-CN"/>
        </w:rPr>
        <w:t>99.5</w:t>
      </w:r>
      <w:r>
        <w:rPr>
          <w:rFonts w:hint="eastAsia" w:ascii="仿宋" w:hAnsi="仿宋" w:eastAsia="仿宋" w:cs="仿宋"/>
          <w:highlight w:val="none"/>
        </w:rPr>
        <w:t>%，下降</w:t>
      </w:r>
      <w:r>
        <w:rPr>
          <w:rFonts w:hint="eastAsia" w:ascii="仿宋" w:hAnsi="仿宋" w:eastAsia="仿宋" w:cs="仿宋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highlight w:val="none"/>
        </w:rPr>
        <w:t>%。主要项目执行情况是：</w:t>
      </w:r>
    </w:p>
    <w:p w14:paraId="1B4C6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1</w:t>
      </w:r>
      <w:r>
        <w:rPr>
          <w:rFonts w:hint="eastAsia" w:ascii="仿宋" w:hAnsi="仿宋" w:eastAsia="仿宋" w:cs="仿宋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highlight w:val="none"/>
        </w:rPr>
        <w:t>一般公共服务支出完成</w:t>
      </w:r>
      <w:r>
        <w:rPr>
          <w:rFonts w:hint="eastAsia" w:ascii="仿宋" w:hAnsi="仿宋" w:eastAsia="仿宋" w:cs="仿宋"/>
          <w:highlight w:val="none"/>
          <w:lang w:val="en-US" w:eastAsia="zh-CN"/>
        </w:rPr>
        <w:t>22868</w:t>
      </w:r>
      <w:r>
        <w:rPr>
          <w:rFonts w:hint="eastAsia" w:ascii="仿宋" w:hAnsi="仿宋" w:eastAsia="仿宋" w:cs="仿宋"/>
          <w:highlight w:val="none"/>
          <w:lang w:eastAsia="zh-CN"/>
        </w:rPr>
        <w:t>万元</w:t>
      </w:r>
      <w:r>
        <w:rPr>
          <w:rFonts w:hint="eastAsia" w:ascii="仿宋" w:hAnsi="仿宋" w:eastAsia="仿宋" w:cs="仿宋"/>
          <w:highlight w:val="none"/>
        </w:rPr>
        <w:t>，为调整预算的</w:t>
      </w:r>
      <w:r>
        <w:rPr>
          <w:rFonts w:hint="eastAsia" w:ascii="仿宋" w:hAnsi="仿宋" w:eastAsia="仿宋" w:cs="仿宋"/>
          <w:highlight w:val="none"/>
          <w:lang w:val="en-US" w:eastAsia="zh-CN"/>
        </w:rPr>
        <w:t>100%</w:t>
      </w:r>
      <w:r>
        <w:rPr>
          <w:rFonts w:hint="eastAsia" w:ascii="仿宋" w:hAnsi="仿宋" w:eastAsia="仿宋" w:cs="仿宋"/>
          <w:highlight w:val="none"/>
          <w:lang w:eastAsia="zh-CN"/>
        </w:rPr>
        <w:t>，同比</w:t>
      </w:r>
      <w:r>
        <w:rPr>
          <w:rFonts w:hint="eastAsia" w:ascii="仿宋" w:hAnsi="仿宋" w:eastAsia="仿宋" w:cs="仿宋"/>
          <w:highlight w:val="none"/>
        </w:rPr>
        <w:t>下降</w:t>
      </w:r>
      <w:r>
        <w:rPr>
          <w:rFonts w:hint="eastAsia" w:ascii="仿宋" w:hAnsi="仿宋" w:eastAsia="仿宋" w:cs="仿宋"/>
          <w:highlight w:val="none"/>
          <w:lang w:val="en-US" w:eastAsia="zh-CN"/>
        </w:rPr>
        <w:t>16.2</w:t>
      </w:r>
      <w:r>
        <w:rPr>
          <w:rFonts w:hint="eastAsia" w:ascii="仿宋" w:hAnsi="仿宋" w:eastAsia="仿宋" w:cs="仿宋"/>
          <w:highlight w:val="none"/>
        </w:rPr>
        <w:t>%。</w:t>
      </w:r>
    </w:p>
    <w:p w14:paraId="036C7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2</w:t>
      </w:r>
      <w:r>
        <w:rPr>
          <w:rFonts w:hint="eastAsia" w:ascii="仿宋" w:hAnsi="仿宋" w:eastAsia="仿宋" w:cs="仿宋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highlight w:val="none"/>
        </w:rPr>
        <w:t>公共安全支出完成</w:t>
      </w:r>
      <w:r>
        <w:rPr>
          <w:rFonts w:hint="eastAsia" w:ascii="仿宋" w:hAnsi="仿宋" w:eastAsia="仿宋" w:cs="仿宋"/>
          <w:highlight w:val="none"/>
          <w:lang w:val="en-US" w:eastAsia="zh-CN"/>
        </w:rPr>
        <w:t>15863</w:t>
      </w:r>
      <w:r>
        <w:rPr>
          <w:rFonts w:hint="eastAsia" w:ascii="仿宋" w:hAnsi="仿宋" w:eastAsia="仿宋" w:cs="仿宋"/>
          <w:highlight w:val="none"/>
          <w:lang w:eastAsia="zh-CN"/>
        </w:rPr>
        <w:t>万元</w:t>
      </w:r>
      <w:r>
        <w:rPr>
          <w:rFonts w:hint="eastAsia" w:ascii="仿宋" w:hAnsi="仿宋" w:eastAsia="仿宋" w:cs="仿宋"/>
          <w:highlight w:val="none"/>
        </w:rPr>
        <w:t>，为调整预算的</w:t>
      </w:r>
      <w:r>
        <w:rPr>
          <w:rFonts w:hint="eastAsia" w:ascii="仿宋" w:hAnsi="仿宋" w:eastAsia="仿宋" w:cs="仿宋"/>
          <w:highlight w:val="none"/>
          <w:lang w:val="en-US" w:eastAsia="zh-CN"/>
        </w:rPr>
        <w:t>100%</w:t>
      </w:r>
      <w:r>
        <w:rPr>
          <w:rFonts w:hint="eastAsia" w:ascii="仿宋" w:hAnsi="仿宋" w:eastAsia="仿宋" w:cs="仿宋"/>
          <w:highlight w:val="none"/>
        </w:rPr>
        <w:t>，</w:t>
      </w:r>
      <w:r>
        <w:rPr>
          <w:rFonts w:hint="eastAsia" w:ascii="仿宋" w:hAnsi="仿宋" w:eastAsia="仿宋" w:cs="仿宋"/>
          <w:highlight w:val="none"/>
          <w:lang w:eastAsia="zh-CN"/>
        </w:rPr>
        <w:t>同比</w:t>
      </w:r>
      <w:r>
        <w:rPr>
          <w:rFonts w:hint="eastAsia" w:ascii="仿宋" w:hAnsi="仿宋" w:eastAsia="仿宋" w:cs="仿宋"/>
          <w:highlight w:val="none"/>
          <w:lang w:val="en-US" w:eastAsia="zh-CN"/>
        </w:rPr>
        <w:t>下降8.7</w:t>
      </w:r>
      <w:r>
        <w:rPr>
          <w:rFonts w:hint="eastAsia" w:ascii="仿宋" w:hAnsi="仿宋" w:eastAsia="仿宋" w:cs="仿宋"/>
          <w:highlight w:val="none"/>
        </w:rPr>
        <w:t>%。</w:t>
      </w:r>
    </w:p>
    <w:p w14:paraId="31415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3</w:t>
      </w:r>
      <w:r>
        <w:rPr>
          <w:rFonts w:hint="eastAsia" w:ascii="仿宋" w:hAnsi="仿宋" w:eastAsia="仿宋" w:cs="仿宋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highlight w:val="none"/>
        </w:rPr>
        <w:t>教育支出完成</w:t>
      </w:r>
      <w:r>
        <w:rPr>
          <w:rFonts w:hint="eastAsia" w:ascii="仿宋" w:hAnsi="仿宋" w:eastAsia="仿宋" w:cs="仿宋"/>
          <w:highlight w:val="none"/>
          <w:lang w:val="en-US" w:eastAsia="zh-CN"/>
        </w:rPr>
        <w:t>93346</w:t>
      </w:r>
      <w:r>
        <w:rPr>
          <w:rFonts w:hint="eastAsia" w:ascii="仿宋" w:hAnsi="仿宋" w:eastAsia="仿宋" w:cs="仿宋"/>
          <w:highlight w:val="none"/>
          <w:lang w:eastAsia="zh-CN"/>
        </w:rPr>
        <w:t>万元</w:t>
      </w:r>
      <w:r>
        <w:rPr>
          <w:rFonts w:hint="eastAsia" w:ascii="仿宋" w:hAnsi="仿宋" w:eastAsia="仿宋" w:cs="仿宋"/>
          <w:highlight w:val="none"/>
        </w:rPr>
        <w:t>，为调整预算的</w:t>
      </w:r>
      <w:r>
        <w:rPr>
          <w:rFonts w:hint="eastAsia" w:ascii="仿宋" w:hAnsi="仿宋" w:eastAsia="仿宋" w:cs="仿宋"/>
          <w:highlight w:val="none"/>
          <w:lang w:val="en-US" w:eastAsia="zh-CN"/>
        </w:rPr>
        <w:t>97.8</w:t>
      </w:r>
      <w:r>
        <w:rPr>
          <w:rFonts w:hint="eastAsia" w:ascii="仿宋" w:hAnsi="仿宋" w:eastAsia="仿宋" w:cs="仿宋"/>
          <w:highlight w:val="none"/>
        </w:rPr>
        <w:t>%，</w:t>
      </w:r>
      <w:r>
        <w:rPr>
          <w:rFonts w:hint="eastAsia" w:ascii="仿宋" w:hAnsi="仿宋" w:eastAsia="仿宋" w:cs="仿宋"/>
          <w:highlight w:val="none"/>
          <w:lang w:eastAsia="zh-CN"/>
        </w:rPr>
        <w:t>同比</w:t>
      </w:r>
      <w:r>
        <w:rPr>
          <w:rFonts w:hint="eastAsia" w:ascii="仿宋" w:hAnsi="仿宋" w:eastAsia="仿宋" w:cs="仿宋"/>
          <w:highlight w:val="none"/>
        </w:rPr>
        <w:t>增长</w:t>
      </w:r>
      <w:r>
        <w:rPr>
          <w:rFonts w:hint="eastAsia" w:ascii="仿宋" w:hAnsi="仿宋" w:eastAsia="仿宋" w:cs="仿宋"/>
          <w:highlight w:val="none"/>
          <w:lang w:val="en-US" w:eastAsia="zh-CN"/>
        </w:rPr>
        <w:t>6.4</w:t>
      </w:r>
      <w:r>
        <w:rPr>
          <w:rFonts w:hint="eastAsia" w:ascii="仿宋" w:hAnsi="仿宋" w:eastAsia="仿宋" w:cs="仿宋"/>
          <w:highlight w:val="none"/>
        </w:rPr>
        <w:t>%。</w:t>
      </w:r>
    </w:p>
    <w:p w14:paraId="75CFF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4</w:t>
      </w:r>
      <w:r>
        <w:rPr>
          <w:rFonts w:hint="eastAsia" w:ascii="仿宋" w:hAnsi="仿宋" w:eastAsia="仿宋" w:cs="仿宋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highlight w:val="none"/>
        </w:rPr>
        <w:t>科学技术支出完成</w:t>
      </w:r>
      <w:r>
        <w:rPr>
          <w:rFonts w:hint="eastAsia" w:ascii="仿宋" w:hAnsi="仿宋" w:eastAsia="仿宋" w:cs="仿宋"/>
          <w:highlight w:val="none"/>
          <w:lang w:val="en-US" w:eastAsia="zh-CN"/>
        </w:rPr>
        <w:t>25358</w:t>
      </w:r>
      <w:r>
        <w:rPr>
          <w:rFonts w:hint="eastAsia" w:ascii="仿宋" w:hAnsi="仿宋" w:eastAsia="仿宋" w:cs="仿宋"/>
          <w:highlight w:val="none"/>
          <w:lang w:eastAsia="zh-CN"/>
        </w:rPr>
        <w:t>万元</w:t>
      </w:r>
      <w:r>
        <w:rPr>
          <w:rFonts w:hint="eastAsia" w:ascii="仿宋" w:hAnsi="仿宋" w:eastAsia="仿宋" w:cs="仿宋"/>
          <w:highlight w:val="none"/>
        </w:rPr>
        <w:t>，为调整预算的</w:t>
      </w:r>
      <w:r>
        <w:rPr>
          <w:rFonts w:hint="eastAsia" w:ascii="仿宋" w:hAnsi="仿宋" w:eastAsia="仿宋" w:cs="仿宋"/>
          <w:highlight w:val="none"/>
          <w:lang w:val="en-US" w:eastAsia="zh-CN"/>
        </w:rPr>
        <w:t>100%</w:t>
      </w:r>
      <w:r>
        <w:rPr>
          <w:rFonts w:hint="eastAsia" w:ascii="仿宋" w:hAnsi="仿宋" w:eastAsia="仿宋" w:cs="仿宋"/>
          <w:highlight w:val="none"/>
        </w:rPr>
        <w:t>，</w:t>
      </w:r>
      <w:r>
        <w:rPr>
          <w:rFonts w:hint="eastAsia" w:ascii="仿宋" w:hAnsi="仿宋" w:eastAsia="仿宋" w:cs="仿宋"/>
          <w:highlight w:val="none"/>
          <w:lang w:eastAsia="zh-CN"/>
        </w:rPr>
        <w:t>同比</w:t>
      </w:r>
      <w:r>
        <w:rPr>
          <w:rFonts w:hint="eastAsia" w:ascii="仿宋" w:hAnsi="仿宋" w:eastAsia="仿宋" w:cs="仿宋"/>
          <w:highlight w:val="none"/>
          <w:lang w:val="en-US" w:eastAsia="zh-CN"/>
        </w:rPr>
        <w:t>增长143.6</w:t>
      </w:r>
      <w:r>
        <w:rPr>
          <w:rFonts w:hint="eastAsia" w:ascii="仿宋" w:hAnsi="仿宋" w:eastAsia="仿宋" w:cs="仿宋"/>
          <w:highlight w:val="none"/>
        </w:rPr>
        <w:t>%。</w:t>
      </w:r>
    </w:p>
    <w:p w14:paraId="78C3D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5</w:t>
      </w:r>
      <w:r>
        <w:rPr>
          <w:rFonts w:hint="eastAsia" w:ascii="仿宋" w:hAnsi="仿宋" w:eastAsia="仿宋" w:cs="仿宋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highlight w:val="none"/>
        </w:rPr>
        <w:t>文化旅游体育与传媒支出完成</w:t>
      </w:r>
      <w:r>
        <w:rPr>
          <w:rFonts w:hint="eastAsia" w:ascii="仿宋" w:hAnsi="仿宋" w:eastAsia="仿宋" w:cs="仿宋"/>
          <w:highlight w:val="none"/>
          <w:lang w:val="en-US" w:eastAsia="zh-CN"/>
        </w:rPr>
        <w:t>2328</w:t>
      </w:r>
      <w:r>
        <w:rPr>
          <w:rFonts w:hint="eastAsia" w:ascii="仿宋" w:hAnsi="仿宋" w:eastAsia="仿宋" w:cs="仿宋"/>
          <w:highlight w:val="none"/>
          <w:lang w:eastAsia="zh-CN"/>
        </w:rPr>
        <w:t>万元</w:t>
      </w:r>
      <w:r>
        <w:rPr>
          <w:rFonts w:hint="eastAsia" w:ascii="仿宋" w:hAnsi="仿宋" w:eastAsia="仿宋" w:cs="仿宋"/>
          <w:highlight w:val="none"/>
        </w:rPr>
        <w:t>，为调整预算的</w:t>
      </w:r>
      <w:r>
        <w:rPr>
          <w:rFonts w:hint="eastAsia" w:ascii="仿宋" w:hAnsi="仿宋" w:eastAsia="仿宋" w:cs="仿宋"/>
          <w:highlight w:val="none"/>
          <w:lang w:val="en-US" w:eastAsia="zh-CN"/>
        </w:rPr>
        <w:t>100%</w:t>
      </w:r>
      <w:r>
        <w:rPr>
          <w:rFonts w:hint="eastAsia" w:ascii="仿宋" w:hAnsi="仿宋" w:eastAsia="仿宋" w:cs="仿宋"/>
          <w:highlight w:val="none"/>
        </w:rPr>
        <w:t>，</w:t>
      </w:r>
      <w:r>
        <w:rPr>
          <w:rFonts w:hint="eastAsia" w:ascii="仿宋" w:hAnsi="仿宋" w:eastAsia="仿宋" w:cs="仿宋"/>
          <w:highlight w:val="none"/>
          <w:lang w:eastAsia="zh-CN"/>
        </w:rPr>
        <w:t>同比</w:t>
      </w:r>
      <w:r>
        <w:rPr>
          <w:rFonts w:hint="eastAsia" w:ascii="仿宋" w:hAnsi="仿宋" w:eastAsia="仿宋" w:cs="仿宋"/>
          <w:highlight w:val="none"/>
          <w:lang w:val="en-US" w:eastAsia="zh-CN"/>
        </w:rPr>
        <w:t>下降24.9</w:t>
      </w:r>
      <w:r>
        <w:rPr>
          <w:rFonts w:hint="eastAsia" w:ascii="仿宋" w:hAnsi="仿宋" w:eastAsia="仿宋" w:cs="仿宋"/>
          <w:highlight w:val="none"/>
        </w:rPr>
        <w:t>%。</w:t>
      </w:r>
    </w:p>
    <w:p w14:paraId="5FC3A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6</w:t>
      </w:r>
      <w:r>
        <w:rPr>
          <w:rFonts w:hint="eastAsia" w:ascii="仿宋" w:hAnsi="仿宋" w:eastAsia="仿宋" w:cs="仿宋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highlight w:val="none"/>
        </w:rPr>
        <w:t>社会保障和就业支出完成</w:t>
      </w:r>
      <w:r>
        <w:rPr>
          <w:rFonts w:hint="eastAsia" w:ascii="仿宋" w:hAnsi="仿宋" w:eastAsia="仿宋" w:cs="仿宋"/>
          <w:highlight w:val="none"/>
          <w:lang w:val="en-US" w:eastAsia="zh-CN"/>
        </w:rPr>
        <w:t>67905</w:t>
      </w:r>
      <w:r>
        <w:rPr>
          <w:rFonts w:hint="eastAsia" w:ascii="仿宋" w:hAnsi="仿宋" w:eastAsia="仿宋" w:cs="仿宋"/>
          <w:highlight w:val="none"/>
          <w:lang w:eastAsia="zh-CN"/>
        </w:rPr>
        <w:t>万元</w:t>
      </w:r>
      <w:r>
        <w:rPr>
          <w:rFonts w:hint="eastAsia" w:ascii="仿宋" w:hAnsi="仿宋" w:eastAsia="仿宋" w:cs="仿宋"/>
          <w:highlight w:val="none"/>
        </w:rPr>
        <w:t>，为调整预算的</w:t>
      </w:r>
      <w:r>
        <w:rPr>
          <w:rFonts w:hint="eastAsia" w:ascii="仿宋" w:hAnsi="仿宋" w:eastAsia="仿宋" w:cs="仿宋"/>
          <w:highlight w:val="none"/>
          <w:lang w:val="en-US" w:eastAsia="zh-CN"/>
        </w:rPr>
        <w:t>100%</w:t>
      </w:r>
      <w:r>
        <w:rPr>
          <w:rFonts w:hint="eastAsia" w:ascii="仿宋" w:hAnsi="仿宋" w:eastAsia="仿宋" w:cs="仿宋"/>
          <w:highlight w:val="none"/>
        </w:rPr>
        <w:t>，</w:t>
      </w:r>
      <w:r>
        <w:rPr>
          <w:rFonts w:hint="eastAsia" w:ascii="仿宋" w:hAnsi="仿宋" w:eastAsia="仿宋" w:cs="仿宋"/>
          <w:highlight w:val="none"/>
          <w:lang w:eastAsia="zh-CN"/>
        </w:rPr>
        <w:t>同比</w:t>
      </w:r>
      <w:r>
        <w:rPr>
          <w:rFonts w:hint="eastAsia" w:ascii="仿宋" w:hAnsi="仿宋" w:eastAsia="仿宋" w:cs="仿宋"/>
          <w:highlight w:val="none"/>
        </w:rPr>
        <w:t>增长</w:t>
      </w:r>
      <w:r>
        <w:rPr>
          <w:rFonts w:hint="eastAsia" w:ascii="仿宋" w:hAnsi="仿宋" w:eastAsia="仿宋" w:cs="仿宋"/>
          <w:highlight w:val="none"/>
          <w:lang w:val="en-US" w:eastAsia="zh-CN"/>
        </w:rPr>
        <w:t>3.0</w:t>
      </w:r>
      <w:r>
        <w:rPr>
          <w:rFonts w:hint="eastAsia" w:ascii="仿宋" w:hAnsi="仿宋" w:eastAsia="仿宋" w:cs="仿宋"/>
          <w:highlight w:val="none"/>
        </w:rPr>
        <w:t>%。</w:t>
      </w:r>
    </w:p>
    <w:p w14:paraId="601FF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7</w:t>
      </w:r>
      <w:r>
        <w:rPr>
          <w:rFonts w:hint="eastAsia" w:ascii="仿宋" w:hAnsi="仿宋" w:eastAsia="仿宋" w:cs="仿宋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highlight w:val="none"/>
        </w:rPr>
        <w:t>卫生健康支出完成</w:t>
      </w:r>
      <w:r>
        <w:rPr>
          <w:rFonts w:hint="eastAsia" w:ascii="仿宋" w:hAnsi="仿宋" w:eastAsia="仿宋" w:cs="仿宋"/>
          <w:highlight w:val="none"/>
          <w:lang w:val="en-US" w:eastAsia="zh-CN"/>
        </w:rPr>
        <w:t>33917</w:t>
      </w:r>
      <w:r>
        <w:rPr>
          <w:rFonts w:hint="eastAsia" w:ascii="仿宋" w:hAnsi="仿宋" w:eastAsia="仿宋" w:cs="仿宋"/>
          <w:highlight w:val="none"/>
          <w:lang w:eastAsia="zh-CN"/>
        </w:rPr>
        <w:t>万元</w:t>
      </w:r>
      <w:r>
        <w:rPr>
          <w:rFonts w:hint="eastAsia" w:ascii="仿宋" w:hAnsi="仿宋" w:eastAsia="仿宋" w:cs="仿宋"/>
          <w:highlight w:val="none"/>
        </w:rPr>
        <w:t>，为调整预算的</w:t>
      </w:r>
      <w:r>
        <w:rPr>
          <w:rFonts w:hint="eastAsia" w:ascii="仿宋" w:hAnsi="仿宋" w:eastAsia="仿宋" w:cs="仿宋"/>
          <w:highlight w:val="none"/>
          <w:lang w:val="en-US" w:eastAsia="zh-CN"/>
        </w:rPr>
        <w:t>100%</w:t>
      </w:r>
      <w:r>
        <w:rPr>
          <w:rFonts w:hint="eastAsia" w:ascii="仿宋" w:hAnsi="仿宋" w:eastAsia="仿宋" w:cs="仿宋"/>
          <w:highlight w:val="none"/>
        </w:rPr>
        <w:t>，</w:t>
      </w:r>
      <w:r>
        <w:rPr>
          <w:rFonts w:hint="eastAsia" w:ascii="仿宋" w:hAnsi="仿宋" w:eastAsia="仿宋" w:cs="仿宋"/>
          <w:highlight w:val="none"/>
          <w:lang w:eastAsia="zh-CN"/>
        </w:rPr>
        <w:t>同比</w:t>
      </w:r>
      <w:r>
        <w:rPr>
          <w:rFonts w:hint="eastAsia" w:ascii="仿宋" w:hAnsi="仿宋" w:eastAsia="仿宋" w:cs="仿宋"/>
          <w:highlight w:val="none"/>
          <w:lang w:val="en-US" w:eastAsia="zh-CN"/>
        </w:rPr>
        <w:t>增长2.4</w:t>
      </w:r>
      <w:r>
        <w:rPr>
          <w:rFonts w:hint="eastAsia" w:ascii="仿宋" w:hAnsi="仿宋" w:eastAsia="仿宋" w:cs="仿宋"/>
          <w:highlight w:val="none"/>
        </w:rPr>
        <w:t>%。</w:t>
      </w:r>
    </w:p>
    <w:p w14:paraId="22B50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8</w:t>
      </w:r>
      <w:r>
        <w:rPr>
          <w:rFonts w:hint="eastAsia" w:ascii="仿宋" w:hAnsi="仿宋" w:eastAsia="仿宋" w:cs="仿宋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highlight w:val="none"/>
        </w:rPr>
        <w:t>节能环保支出完成</w:t>
      </w:r>
      <w:r>
        <w:rPr>
          <w:rFonts w:hint="eastAsia" w:ascii="仿宋" w:hAnsi="仿宋" w:eastAsia="仿宋" w:cs="仿宋"/>
          <w:highlight w:val="none"/>
          <w:lang w:val="en-US" w:eastAsia="zh-CN"/>
        </w:rPr>
        <w:t>5462</w:t>
      </w:r>
      <w:r>
        <w:rPr>
          <w:rFonts w:hint="eastAsia" w:ascii="仿宋" w:hAnsi="仿宋" w:eastAsia="仿宋" w:cs="仿宋"/>
          <w:highlight w:val="none"/>
          <w:lang w:eastAsia="zh-CN"/>
        </w:rPr>
        <w:t>万元</w:t>
      </w:r>
      <w:r>
        <w:rPr>
          <w:rFonts w:hint="eastAsia" w:ascii="仿宋" w:hAnsi="仿宋" w:eastAsia="仿宋" w:cs="仿宋"/>
          <w:highlight w:val="none"/>
        </w:rPr>
        <w:t>，为调整预算的</w:t>
      </w:r>
      <w:r>
        <w:rPr>
          <w:rFonts w:hint="eastAsia" w:ascii="仿宋" w:hAnsi="仿宋" w:eastAsia="仿宋" w:cs="仿宋"/>
          <w:highlight w:val="none"/>
          <w:lang w:val="en-US" w:eastAsia="zh-CN"/>
        </w:rPr>
        <w:t>100%</w:t>
      </w:r>
      <w:r>
        <w:rPr>
          <w:rFonts w:hint="eastAsia" w:ascii="仿宋" w:hAnsi="仿宋" w:eastAsia="仿宋" w:cs="仿宋"/>
          <w:highlight w:val="none"/>
        </w:rPr>
        <w:t>，</w:t>
      </w:r>
      <w:r>
        <w:rPr>
          <w:rFonts w:hint="eastAsia" w:ascii="仿宋" w:hAnsi="仿宋" w:eastAsia="仿宋" w:cs="仿宋"/>
          <w:highlight w:val="none"/>
          <w:lang w:eastAsia="zh-CN"/>
        </w:rPr>
        <w:t>同比</w:t>
      </w:r>
      <w:r>
        <w:rPr>
          <w:rFonts w:hint="eastAsia" w:ascii="仿宋" w:hAnsi="仿宋" w:eastAsia="仿宋" w:cs="仿宋"/>
          <w:highlight w:val="none"/>
          <w:lang w:val="en-US" w:eastAsia="zh-CN"/>
        </w:rPr>
        <w:t>增长</w:t>
      </w:r>
      <w:r>
        <w:rPr>
          <w:rFonts w:hint="eastAsia" w:ascii="仿宋" w:hAnsi="仿宋" w:eastAsia="仿宋" w:cs="仿宋"/>
          <w:highlight w:val="none"/>
        </w:rPr>
        <w:t>32.</w:t>
      </w:r>
      <w:r>
        <w:rPr>
          <w:rFonts w:hint="eastAsia" w:ascii="仿宋" w:hAnsi="仿宋" w:eastAsia="仿宋" w:cs="仿宋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highlight w:val="none"/>
        </w:rPr>
        <w:t>%。</w:t>
      </w:r>
    </w:p>
    <w:p w14:paraId="1D3BA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9</w:t>
      </w:r>
      <w:r>
        <w:rPr>
          <w:rFonts w:hint="eastAsia" w:ascii="仿宋" w:hAnsi="仿宋" w:eastAsia="仿宋" w:cs="仿宋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highlight w:val="none"/>
        </w:rPr>
        <w:t>城乡社区事务支出完成</w:t>
      </w:r>
      <w:r>
        <w:rPr>
          <w:rFonts w:hint="eastAsia" w:ascii="仿宋" w:hAnsi="仿宋" w:eastAsia="仿宋" w:cs="仿宋"/>
          <w:highlight w:val="none"/>
          <w:lang w:val="en-US" w:eastAsia="zh-CN"/>
        </w:rPr>
        <w:t>7423</w:t>
      </w:r>
      <w:r>
        <w:rPr>
          <w:rFonts w:hint="eastAsia" w:ascii="仿宋" w:hAnsi="仿宋" w:eastAsia="仿宋" w:cs="仿宋"/>
          <w:highlight w:val="none"/>
          <w:lang w:eastAsia="zh-CN"/>
        </w:rPr>
        <w:t>万元</w:t>
      </w:r>
      <w:r>
        <w:rPr>
          <w:rFonts w:hint="eastAsia" w:ascii="仿宋" w:hAnsi="仿宋" w:eastAsia="仿宋" w:cs="仿宋"/>
          <w:highlight w:val="none"/>
        </w:rPr>
        <w:t>，为调整预算的</w:t>
      </w:r>
      <w:r>
        <w:rPr>
          <w:rFonts w:hint="eastAsia" w:ascii="仿宋" w:hAnsi="仿宋" w:eastAsia="仿宋" w:cs="仿宋"/>
          <w:highlight w:val="none"/>
          <w:lang w:val="en-US" w:eastAsia="zh-CN"/>
        </w:rPr>
        <w:t>100%</w:t>
      </w:r>
      <w:r>
        <w:rPr>
          <w:rFonts w:hint="eastAsia" w:ascii="仿宋" w:hAnsi="仿宋" w:eastAsia="仿宋" w:cs="仿宋"/>
          <w:highlight w:val="none"/>
          <w:lang w:eastAsia="zh-CN"/>
        </w:rPr>
        <w:t>，同比</w:t>
      </w:r>
      <w:r>
        <w:rPr>
          <w:rFonts w:hint="eastAsia" w:ascii="仿宋" w:hAnsi="仿宋" w:eastAsia="仿宋" w:cs="仿宋"/>
          <w:highlight w:val="none"/>
        </w:rPr>
        <w:t>减少</w:t>
      </w:r>
      <w:r>
        <w:rPr>
          <w:rFonts w:hint="eastAsia" w:ascii="仿宋" w:hAnsi="仿宋" w:eastAsia="仿宋" w:cs="仿宋"/>
          <w:highlight w:val="none"/>
          <w:lang w:val="en-US" w:eastAsia="zh-CN"/>
        </w:rPr>
        <w:t>49.8</w:t>
      </w:r>
      <w:r>
        <w:rPr>
          <w:rFonts w:hint="eastAsia" w:ascii="仿宋" w:hAnsi="仿宋" w:eastAsia="仿宋" w:cs="仿宋"/>
          <w:highlight w:val="none"/>
        </w:rPr>
        <w:t>%。</w:t>
      </w:r>
    </w:p>
    <w:p w14:paraId="1EDA3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10.农林水事务支出完成60315万元，完成调整预算100%，同比下降25.4%。</w:t>
      </w:r>
    </w:p>
    <w:p w14:paraId="4886E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11.交通运输支出完成13951万元，完成调整预算100%，同比增长10.3%。</w:t>
      </w:r>
    </w:p>
    <w:p w14:paraId="7065E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12.资源勘探电力信息等支出完成190万元，完成调整预算100%，同比下降69.3%。</w:t>
      </w:r>
    </w:p>
    <w:p w14:paraId="649FB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13.商业服务业等事务支出完成1611万元，完成调整预算100%，同比增长164.1%。</w:t>
      </w:r>
    </w:p>
    <w:p w14:paraId="09704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14.自然资源海洋气象等支出完成1978万元，完成调整预算100%，同比下降46.5%。</w:t>
      </w:r>
    </w:p>
    <w:p w14:paraId="5136B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15.住房保障支出完成16171万元，完成调整预算100%，同比增长64.2%。</w:t>
      </w:r>
    </w:p>
    <w:p w14:paraId="30E38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16.粮油物资储备管理事务支出完成741万元，完成调整预算100%，同比增长55.3%。</w:t>
      </w:r>
    </w:p>
    <w:p w14:paraId="6E654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17.灾害防治及应急管理支出完成2404万元，完成调整预算100%，同比下降22.9%。</w:t>
      </w:r>
    </w:p>
    <w:p w14:paraId="30B3C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18.债务付息支出完成5249万元，完成调整预算100%，同比下降0.5%。</w:t>
      </w:r>
    </w:p>
    <w:p w14:paraId="1CACB39D">
      <w:pPr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br w:type="page"/>
      </w:r>
    </w:p>
    <w:p w14:paraId="54B99F1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黑体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/>
          <w:sz w:val="32"/>
          <w:highlight w:val="none"/>
          <w:lang w:val="en-US" w:eastAsia="zh-CN"/>
        </w:rPr>
        <w:t>表五</w:t>
      </w:r>
    </w:p>
    <w:p w14:paraId="5C86BADD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</w:pPr>
      <w:bookmarkStart w:id="27" w:name="_Toc14836"/>
      <w:bookmarkStart w:id="28" w:name="_Toc645"/>
      <w:bookmarkStart w:id="29" w:name="_Toc26572"/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  <w:t>2025年民权县政府性基金收入分项完成情况表</w:t>
      </w:r>
      <w:bookmarkEnd w:id="27"/>
      <w:bookmarkEnd w:id="28"/>
      <w:bookmarkEnd w:id="29"/>
    </w:p>
    <w:p w14:paraId="03C68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单位：万元</w:t>
      </w:r>
    </w:p>
    <w:tbl>
      <w:tblPr>
        <w:tblStyle w:val="1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2"/>
        <w:gridCol w:w="1085"/>
        <w:gridCol w:w="1085"/>
        <w:gridCol w:w="1085"/>
        <w:gridCol w:w="1228"/>
        <w:gridCol w:w="1229"/>
      </w:tblGrid>
      <w:tr w14:paraId="49FCD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8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F6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60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23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调整预算数</w:t>
            </w:r>
          </w:p>
        </w:tc>
        <w:tc>
          <w:tcPr>
            <w:tcW w:w="60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8F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累计完成</w:t>
            </w:r>
          </w:p>
        </w:tc>
        <w:tc>
          <w:tcPr>
            <w:tcW w:w="60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01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上年同期完成</w:t>
            </w:r>
          </w:p>
        </w:tc>
        <w:tc>
          <w:tcPr>
            <w:tcW w:w="136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1C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累计完成</w:t>
            </w:r>
          </w:p>
        </w:tc>
      </w:tr>
      <w:tr w14:paraId="5D475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18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77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0BC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6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D74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6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A90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FF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为调整预算数%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97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同比同期±％</w:t>
            </w:r>
          </w:p>
        </w:tc>
      </w:tr>
      <w:tr w14:paraId="4FF60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C266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6"/>
                <w:szCs w:val="26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8B6D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49,800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2A88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51,433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1417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65,336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7842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103.3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B683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-21.3</w:t>
            </w:r>
          </w:p>
        </w:tc>
      </w:tr>
      <w:tr w14:paraId="2779B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53F6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国有土地使用权出让金收入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31D2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42,000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09B7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42,063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920B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58,130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6E26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100.2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E6FA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-27.6</w:t>
            </w:r>
          </w:p>
        </w:tc>
      </w:tr>
      <w:tr w14:paraId="0223D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0AE6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国有土地收益基金收入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BA2C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0165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923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6F92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1,213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8AE2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42AC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-23.9</w:t>
            </w:r>
          </w:p>
        </w:tc>
      </w:tr>
      <w:tr w14:paraId="1B5C0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65A7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农业土地开发资金收入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D8F9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81AE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337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6ED8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393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CD95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5D33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-14.2</w:t>
            </w:r>
          </w:p>
        </w:tc>
      </w:tr>
      <w:tr w14:paraId="3CC2C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DCE5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城市基础设施配套费收入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6378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3,491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6D86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3,647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03FA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1,511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63EF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104.5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9D48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141.4</w:t>
            </w:r>
          </w:p>
        </w:tc>
      </w:tr>
      <w:tr w14:paraId="0C79A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0A97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污水处理费收入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F3E5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1,200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7F4E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1,354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FA2A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980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56B3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112.8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EA27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38.2</w:t>
            </w:r>
          </w:p>
        </w:tc>
      </w:tr>
      <w:tr w14:paraId="54BF7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5A09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其他地方自行试点项目收益专项债券对应项目专项收入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53D8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3,109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4D09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3,109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24DF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3,109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4C33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62FA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8AF8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5C1A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新型墙体材料专项基金收入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45FE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90BE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7B29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2246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C918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6320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A361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城市公用事业附加收入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6005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4077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F0A4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10BF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24BD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E4D9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54AD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其他政府性基金收入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D499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7F01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4A67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C0DF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A669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5639854A">
      <w:pPr>
        <w:pStyle w:val="2"/>
        <w:rPr>
          <w:rFonts w:hint="default"/>
          <w:highlight w:val="none"/>
          <w:lang w:val="en-US" w:eastAsia="zh-CN"/>
        </w:rPr>
      </w:pPr>
    </w:p>
    <w:p w14:paraId="7AF9C223">
      <w:pPr>
        <w:rPr>
          <w:rFonts w:hint="default" w:ascii="Times New Roman" w:hAnsi="Times New Roman" w:cs="Times New Roman"/>
          <w:highlight w:val="none"/>
        </w:rPr>
      </w:pPr>
    </w:p>
    <w:p w14:paraId="57BAFB1A">
      <w:pPr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br w:type="page"/>
      </w:r>
    </w:p>
    <w:p w14:paraId="364D8A0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bookmarkStart w:id="30" w:name="_Toc20793"/>
      <w:bookmarkStart w:id="31" w:name="_Toc6331"/>
      <w:bookmarkStart w:id="32" w:name="_Toc8596"/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关于2025年全县政府性基金收入执行情况的说明</w:t>
      </w:r>
      <w:bookmarkEnd w:id="30"/>
      <w:bookmarkEnd w:id="31"/>
      <w:bookmarkEnd w:id="32"/>
    </w:p>
    <w:p w14:paraId="4E594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/>
          <w:highlight w:val="none"/>
        </w:rPr>
      </w:pPr>
    </w:p>
    <w:p w14:paraId="38A9D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2025年，汇总年初各级人大批准的全县政府性基金收入年初预算为99809万元，执行中因成交土地情况，并结合县自然资源局和县国土空间规划编研中心意见，调整后收入预算为49800万元，实际完成51433万元，完成调整预算103.3%，同比下降21.3%。主要收入项目执行情况是：</w:t>
      </w:r>
    </w:p>
    <w:p w14:paraId="27F5E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1.国有土地使用权出让金收入完成42063万元，完成调整预算100.2%，同比下降27.6%。</w:t>
      </w:r>
    </w:p>
    <w:p w14:paraId="50477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2.城市基础设施配套费收入完成3647万元，完成调整预算104.5%，同比增长141.4%。</w:t>
      </w:r>
    </w:p>
    <w:p w14:paraId="1E3C6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3.污水处理费收入完成1354万元，完成调整预算112.8%，同比增长38.2%。</w:t>
      </w:r>
    </w:p>
    <w:p w14:paraId="7B9752A8">
      <w:pPr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4.其他地方自行试点项目收益专项债券对应项目专项收入完成3109万元，完成调整预算100%，与上年持平。</w:t>
      </w:r>
      <w:r>
        <w:rPr>
          <w:rFonts w:hint="default" w:ascii="Times New Roman" w:hAnsi="Times New Roman" w:cs="Times New Roman"/>
          <w:color w:val="auto"/>
          <w:highlight w:val="none"/>
        </w:rPr>
        <w:br w:type="page"/>
      </w:r>
    </w:p>
    <w:p w14:paraId="212F568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黑体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/>
          <w:sz w:val="32"/>
          <w:highlight w:val="none"/>
          <w:lang w:val="en-US" w:eastAsia="zh-CN"/>
        </w:rPr>
        <w:t>表六</w:t>
      </w:r>
    </w:p>
    <w:p w14:paraId="4ABFB7E8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</w:pPr>
      <w:bookmarkStart w:id="33" w:name="_Toc4300"/>
      <w:bookmarkStart w:id="34" w:name="_Toc13066"/>
      <w:bookmarkStart w:id="35" w:name="_Toc2297"/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  <w:t>2025年民权县政府性基金支出分项完成情况表</w:t>
      </w:r>
      <w:bookmarkEnd w:id="33"/>
      <w:bookmarkEnd w:id="34"/>
      <w:bookmarkEnd w:id="35"/>
    </w:p>
    <w:p w14:paraId="19F6C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right"/>
        <w:textAlignment w:val="auto"/>
        <w:rPr>
          <w:rFonts w:hint="default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单位：万元</w:t>
      </w:r>
    </w:p>
    <w:tbl>
      <w:tblPr>
        <w:tblStyle w:val="1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7"/>
        <w:gridCol w:w="1175"/>
        <w:gridCol w:w="1125"/>
        <w:gridCol w:w="1062"/>
        <w:gridCol w:w="1038"/>
        <w:gridCol w:w="937"/>
      </w:tblGrid>
      <w:tr w14:paraId="7EF24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exact"/>
        </w:trPr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9F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44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调整预算数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DC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累计完成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4C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上年同期完成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C3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为调整预算数%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62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同比同期±％</w:t>
            </w:r>
          </w:p>
        </w:tc>
      </w:tr>
      <w:tr w14:paraId="78C46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1A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C4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196,579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30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119,994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C6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both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137,542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FB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61.0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A1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-12.8</w:t>
            </w:r>
          </w:p>
        </w:tc>
      </w:tr>
      <w:tr w14:paraId="7F3E8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63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国家电影事业发展专项资金安排的支出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33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C1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46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0F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15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150.0</w:t>
            </w:r>
          </w:p>
        </w:tc>
      </w:tr>
      <w:tr w14:paraId="05CEC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07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旅游发展基金支出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01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4D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53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B6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31.3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7B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48F1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07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国有土地使用权出让收入安排的支出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E1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18,926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4C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7,225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70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40,268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C3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38.2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64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-82.1</w:t>
            </w:r>
          </w:p>
        </w:tc>
      </w:tr>
      <w:tr w14:paraId="5132B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69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国有土地收益基金安排的支出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C9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1,294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44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1,223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E9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842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0E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94.5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AC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45.2</w:t>
            </w:r>
          </w:p>
        </w:tc>
      </w:tr>
      <w:tr w14:paraId="6CEFC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A4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农业土地开发资金支出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8F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99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519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9A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392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2F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94.4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ED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32.4</w:t>
            </w:r>
          </w:p>
        </w:tc>
      </w:tr>
      <w:tr w14:paraId="01653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5F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城市基础设施配套费安排的支出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14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3,625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54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3,625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FD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1,815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24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25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99.7</w:t>
            </w:r>
          </w:p>
        </w:tc>
      </w:tr>
      <w:tr w14:paraId="35A58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F0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污水处理费安排的支出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7C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1,452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EE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1,194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EA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915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3B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82.2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9A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30.5</w:t>
            </w:r>
          </w:p>
        </w:tc>
      </w:tr>
      <w:tr w14:paraId="07226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D6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棚户区改造专项债券收入安排的支出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36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16,600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61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14,800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E0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10,000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99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89.2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F4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48.0</w:t>
            </w:r>
          </w:p>
        </w:tc>
      </w:tr>
      <w:tr w14:paraId="3F08C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FD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国有土地使用权出让收入对应专项债务收入安排的支出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20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18,500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34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16,000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C0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5,900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31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86.5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55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171.2</w:t>
            </w:r>
          </w:p>
        </w:tc>
      </w:tr>
      <w:tr w14:paraId="6EAD4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83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超长期特别国债安排的支出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BE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10,418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49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3,234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CC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5F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31.0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E9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8011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46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农林水支出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4B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21,796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D4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1,855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A7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1,440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F6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8.5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25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28.8</w:t>
            </w:r>
          </w:p>
        </w:tc>
      </w:tr>
      <w:tr w14:paraId="54DB9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72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其中：大中型水库库区基金安排的支出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F7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97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C7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85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24.4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F4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-42.0</w:t>
            </w:r>
          </w:p>
        </w:tc>
      </w:tr>
      <w:tr w14:paraId="21AFD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59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其中：大中型水库移民后期扶持基金支出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B1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2,832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33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1,815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45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1,371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9D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64.1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BD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32.4</w:t>
            </w:r>
          </w:p>
        </w:tc>
      </w:tr>
      <w:tr w14:paraId="24F23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7E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资源勘探工业信息等支出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38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44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64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1C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98.7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95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9495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06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其他政府性基金及对应专项债务收入安排的支出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52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73,527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04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42,855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9F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50,904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31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58.3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4E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-15.8</w:t>
            </w:r>
          </w:p>
        </w:tc>
      </w:tr>
      <w:tr w14:paraId="40B65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D8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彩票公益金安排的支出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F0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3,939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96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1,536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FC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802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3A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39.0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43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91.5</w:t>
            </w:r>
          </w:p>
        </w:tc>
      </w:tr>
      <w:tr w14:paraId="0EC67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E1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债务付息支出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6C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25,758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C9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25,758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A4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24,258 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6F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100.0 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14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6.2</w:t>
            </w:r>
          </w:p>
        </w:tc>
      </w:tr>
      <w:tr w14:paraId="2EE37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265B2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9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债务发行费用支出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8C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5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5D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5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9B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4 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66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100.0 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22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25.0</w:t>
            </w:r>
          </w:p>
        </w:tc>
      </w:tr>
    </w:tbl>
    <w:p w14:paraId="15E292C9">
      <w:pPr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br w:type="page"/>
      </w:r>
    </w:p>
    <w:p w14:paraId="3489CC9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bookmarkStart w:id="36" w:name="_Toc31542"/>
      <w:bookmarkStart w:id="37" w:name="_Toc21007"/>
      <w:bookmarkStart w:id="38" w:name="_Toc26569"/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关于2025年全县政府性基金支出执行情况的说明</w:t>
      </w:r>
      <w:bookmarkEnd w:id="36"/>
      <w:bookmarkEnd w:id="37"/>
      <w:bookmarkEnd w:id="38"/>
    </w:p>
    <w:p w14:paraId="7915D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/>
          <w:highlight w:val="none"/>
        </w:rPr>
      </w:pPr>
    </w:p>
    <w:p w14:paraId="446C0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2025年，汇总全县各级人代会批准的政府性基金支出年初预算为127470万元，执行中因超收安排、上级补助、新增政府债券等因素，调整后支出预算为196579万元。2025年，全县政府性基金预算支出完成119994万元，完成调整预算61%，同比下降12.8%。</w:t>
      </w:r>
    </w:p>
    <w:p w14:paraId="18834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1.国有土地使用权出让收入安排的支出7225万元，完成调整预算38.2%，同比下降82.1%。</w:t>
      </w:r>
    </w:p>
    <w:p w14:paraId="7A4CC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2.国有土地收益基金安排的支出1223万元，完成调整预算94.5%，同比增长45.2%。</w:t>
      </w:r>
    </w:p>
    <w:p w14:paraId="617DF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3.农业土地开发资金支出519万元，完成调整预算94.4%，同比增长32.4%。</w:t>
      </w:r>
    </w:p>
    <w:p w14:paraId="547BC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4.城市基础设施配套费支出3625万元，完成调整预算100%，同比增长99.7%。</w:t>
      </w:r>
    </w:p>
    <w:p w14:paraId="05157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5.污水处理费安排的支出1194万元，完成调整预算82.2%，同比增长30.5%。</w:t>
      </w:r>
    </w:p>
    <w:p w14:paraId="15394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6.棚户区改造专项债券收入安排的支出14800万元，完成调整预算89.2%，同比增长48.0%。</w:t>
      </w:r>
    </w:p>
    <w:p w14:paraId="3CF5A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7.国有土地使用权出让收入对应专项债务收入安排的支出16000万元，完成调整预算86.5%，同比增长171.2%。</w:t>
      </w:r>
    </w:p>
    <w:p w14:paraId="0DB7F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8.大中型水库移民后期扶持基金支出1815万元，完成调整预算64.1%，同比增长32.4%。</w:t>
      </w:r>
    </w:p>
    <w:p w14:paraId="5EFC1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9.其他政府性基金及对应专项债务收入安排的支出42855万元，完成调整预算58.3%，同比下降15.8%。</w:t>
      </w:r>
    </w:p>
    <w:p w14:paraId="3C391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10.彩票公益金安排的支出1536万元，完成调整预算39%，同比增长91.5%。</w:t>
      </w:r>
    </w:p>
    <w:p w14:paraId="35A76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11.债务付息支出25758万元，完成调整预算100%，同比增长6.2%。</w:t>
      </w:r>
      <w:bookmarkStart w:id="39" w:name="_Toc23556_ai"/>
      <w:bookmarkEnd w:id="39"/>
    </w:p>
    <w:p w14:paraId="551737A6">
      <w:pPr>
        <w:rPr>
          <w:rFonts w:hint="default" w:ascii="Times New Roman" w:hAnsi="Times New Roman" w:eastAsia="黑体"/>
          <w:sz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</w:rPr>
        <w:br w:type="page"/>
      </w:r>
      <w:bookmarkStart w:id="40" w:name="_Toc17969"/>
    </w:p>
    <w:p w14:paraId="195FAEE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黑体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/>
          <w:sz w:val="32"/>
          <w:highlight w:val="none"/>
          <w:lang w:val="zh-CN" w:eastAsia="zh-CN"/>
        </w:rPr>
        <w:t>表</w:t>
      </w:r>
      <w:r>
        <w:rPr>
          <w:rFonts w:hint="eastAsia" w:eastAsia="黑体"/>
          <w:sz w:val="32"/>
          <w:highlight w:val="none"/>
          <w:lang w:val="en-US" w:eastAsia="zh-CN"/>
        </w:rPr>
        <w:t>七</w:t>
      </w:r>
    </w:p>
    <w:p w14:paraId="0619CDBE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sz w:val="36"/>
          <w:highlight w:val="none"/>
          <w:lang w:val="zh-CN" w:eastAsia="zh-CN"/>
        </w:rPr>
      </w:pPr>
      <w:bookmarkStart w:id="41" w:name="_Toc10798"/>
      <w:bookmarkStart w:id="42" w:name="_Toc13403"/>
      <w:bookmarkStart w:id="43" w:name="_Toc5017"/>
      <w:bookmarkStart w:id="44" w:name="_Toc11336"/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zh-CN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  <w:t>25</w:t>
      </w:r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zh-CN" w:eastAsia="zh-CN"/>
        </w:rPr>
        <w:t>年民权县社会保险基金执行情况表</w:t>
      </w:r>
      <w:bookmarkEnd w:id="41"/>
      <w:bookmarkEnd w:id="42"/>
      <w:bookmarkEnd w:id="43"/>
      <w:bookmarkEnd w:id="44"/>
    </w:p>
    <w:p w14:paraId="1C928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right"/>
        <w:textAlignment w:val="auto"/>
        <w:rPr>
          <w:rFonts w:hint="default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单位：万元</w:t>
      </w:r>
    </w:p>
    <w:tbl>
      <w:tblPr>
        <w:tblStyle w:val="14"/>
        <w:tblW w:w="5071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014"/>
        <w:gridCol w:w="1014"/>
        <w:gridCol w:w="1014"/>
        <w:gridCol w:w="1063"/>
        <w:gridCol w:w="1014"/>
        <w:gridCol w:w="1014"/>
        <w:gridCol w:w="1101"/>
        <w:gridCol w:w="1144"/>
      </w:tblGrid>
      <w:tr w14:paraId="05BDF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7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C5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目</w:t>
            </w:r>
          </w:p>
        </w:tc>
        <w:tc>
          <w:tcPr>
            <w:tcW w:w="101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64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年初</w:t>
            </w:r>
          </w:p>
          <w:p w14:paraId="10D77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结转</w:t>
            </w:r>
          </w:p>
        </w:tc>
        <w:tc>
          <w:tcPr>
            <w:tcW w:w="309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60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年基金预算收入情况</w:t>
            </w:r>
          </w:p>
        </w:tc>
        <w:tc>
          <w:tcPr>
            <w:tcW w:w="31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40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年基金预算支出情况</w:t>
            </w:r>
          </w:p>
        </w:tc>
        <w:tc>
          <w:tcPr>
            <w:tcW w:w="1144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5B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年末</w:t>
            </w:r>
          </w:p>
          <w:p w14:paraId="74564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滚存</w:t>
            </w:r>
          </w:p>
          <w:p w14:paraId="657A6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结余</w:t>
            </w:r>
          </w:p>
        </w:tc>
      </w:tr>
      <w:tr w14:paraId="684AC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7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8B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01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E1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5F88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年初</w:t>
            </w:r>
          </w:p>
          <w:p w14:paraId="15755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预算数</w:t>
            </w: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1B9D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完成数</w:t>
            </w:r>
          </w:p>
        </w:tc>
        <w:tc>
          <w:tcPr>
            <w:tcW w:w="10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4D77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完成数为预算数的%</w:t>
            </w: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A9E2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年初</w:t>
            </w:r>
          </w:p>
          <w:p w14:paraId="386AF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预算数</w:t>
            </w: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CF0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完成数</w:t>
            </w:r>
          </w:p>
        </w:tc>
        <w:tc>
          <w:tcPr>
            <w:tcW w:w="11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DE7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完成数为预算数的%</w:t>
            </w:r>
          </w:p>
        </w:tc>
        <w:tc>
          <w:tcPr>
            <w:tcW w:w="1144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67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</w:tc>
      </w:tr>
      <w:tr w14:paraId="23A14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7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1DD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城乡居民社会养老保险基金</w:t>
            </w: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05D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90,858</w:t>
            </w: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B50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40,010</w:t>
            </w: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7FF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42,677</w:t>
            </w:r>
          </w:p>
        </w:tc>
        <w:tc>
          <w:tcPr>
            <w:tcW w:w="10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3228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106.7</w:t>
            </w: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99E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29,357</w:t>
            </w: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2B9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31,451</w:t>
            </w:r>
          </w:p>
        </w:tc>
        <w:tc>
          <w:tcPr>
            <w:tcW w:w="11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BD27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107.1</w:t>
            </w:r>
          </w:p>
        </w:tc>
        <w:tc>
          <w:tcPr>
            <w:tcW w:w="11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BDC2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102,084</w:t>
            </w:r>
          </w:p>
        </w:tc>
      </w:tr>
      <w:tr w14:paraId="1ADE5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7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DDA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合计</w:t>
            </w: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EFF7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90,858</w:t>
            </w: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DE19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40,010</w:t>
            </w: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8815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42,677</w:t>
            </w:r>
          </w:p>
        </w:tc>
        <w:tc>
          <w:tcPr>
            <w:tcW w:w="10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C9F5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106.7</w:t>
            </w: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441A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29,357</w:t>
            </w:r>
          </w:p>
        </w:tc>
        <w:tc>
          <w:tcPr>
            <w:tcW w:w="10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BBB1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31,451</w:t>
            </w:r>
          </w:p>
        </w:tc>
        <w:tc>
          <w:tcPr>
            <w:tcW w:w="11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66A8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107.1</w:t>
            </w:r>
          </w:p>
        </w:tc>
        <w:tc>
          <w:tcPr>
            <w:tcW w:w="11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A144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102,084</w:t>
            </w:r>
          </w:p>
        </w:tc>
      </w:tr>
    </w:tbl>
    <w:p w14:paraId="4C6C1DF6">
      <w:pPr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br w:type="page"/>
      </w:r>
    </w:p>
    <w:p w14:paraId="244934C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zh-CN" w:eastAsia="zh-CN"/>
        </w:rPr>
      </w:pPr>
      <w:bookmarkStart w:id="45" w:name="_Toc24529"/>
      <w:bookmarkStart w:id="46" w:name="_Toc5414"/>
      <w:bookmarkStart w:id="47" w:name="_Toc26135"/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zh-CN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25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zh-CN" w:eastAsia="zh-CN"/>
        </w:rPr>
        <w:t>年民权县社会保险基金执行情况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zh-CN" w:eastAsia="zh-CN"/>
        </w:rPr>
        <w:t>说明</w:t>
      </w:r>
      <w:bookmarkEnd w:id="45"/>
      <w:bookmarkEnd w:id="46"/>
      <w:bookmarkEnd w:id="47"/>
    </w:p>
    <w:p w14:paraId="3F157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/>
          <w:highlight w:val="none"/>
        </w:rPr>
      </w:pPr>
    </w:p>
    <w:p w14:paraId="46D94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202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5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民权县社会保险基金收入预算为40010万元，实际完成收入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42677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万元，为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年初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预算的106.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7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％；支出预算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29357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万元，实际完成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31451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万元，为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年初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预算的10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7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％。</w:t>
      </w:r>
    </w:p>
    <w:p w14:paraId="1C3F2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highlight w:val="none"/>
          <w:lang w:val="en-US" w:eastAsia="zh-CN"/>
        </w:rPr>
        <w:t>一.2025年全县社保基金预算收入执行情况</w:t>
      </w:r>
    </w:p>
    <w:p w14:paraId="0E5B5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202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5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年民权县社会保险基金收入预算为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40010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万元，实际完成收入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42677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万元，为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年初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预算的106.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7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％，主要项目执行情况是：</w:t>
      </w:r>
    </w:p>
    <w:p w14:paraId="547DB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城乡居民基本养老保险基金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42677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万元，为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年初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预算的106.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7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％，增加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7921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万元，增长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22.79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%。</w:t>
      </w:r>
    </w:p>
    <w:p w14:paraId="613D2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highlight w:val="none"/>
          <w:lang w:val="en-US" w:eastAsia="zh-CN"/>
        </w:rPr>
        <w:t>二.2025年全县社保基金预算支出执行情况</w:t>
      </w:r>
    </w:p>
    <w:p w14:paraId="622C1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202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5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年民权县社会保险基金支出预算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29357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万元，实际完成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31451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万元，为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年初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预算的10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7.1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％，主要项目执行情况是：</w:t>
      </w:r>
    </w:p>
    <w:p w14:paraId="042B2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城乡居民基本养老保险基金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31451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万元，为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年初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预算的10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7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％，增加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5906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万元，增长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23.12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%。</w:t>
      </w:r>
    </w:p>
    <w:p w14:paraId="49FC1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highlight w:val="none"/>
          <w:lang w:val="en-US" w:eastAsia="zh-CN"/>
        </w:rPr>
        <w:t>三.收支结余情况</w:t>
      </w:r>
    </w:p>
    <w:p w14:paraId="08FD6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202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5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年全县社会保险基金收支完成情况为年初结转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90858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万元，当年收入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42677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万元，当年支出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31451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万元，年末滚存结余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102084</w:t>
      </w:r>
      <w:r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万元。</w:t>
      </w:r>
    </w:p>
    <w:p w14:paraId="0334378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仿宋" w:hAnsi="仿宋" w:eastAsia="仿宋" w:cs="仿宋"/>
          <w:highlight w:val="none"/>
          <w:lang w:val="en-US" w:eastAsia="zh-CN"/>
        </w:rPr>
      </w:pPr>
      <w:r>
        <w:rPr>
          <w:rFonts w:hint="default" w:ascii="仿宋" w:hAnsi="仿宋" w:eastAsia="仿宋" w:cs="仿宋"/>
          <w:highlight w:val="none"/>
          <w:lang w:val="en-US" w:eastAsia="zh-CN"/>
        </w:rPr>
        <w:br w:type="page"/>
      </w:r>
    </w:p>
    <w:p w14:paraId="7638195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黑体"/>
          <w:sz w:val="32"/>
          <w:highlight w:val="none"/>
          <w:lang w:val="zh-CN" w:eastAsia="zh-CN"/>
        </w:rPr>
      </w:pPr>
      <w:r>
        <w:rPr>
          <w:rFonts w:hint="default" w:ascii="Times New Roman" w:hAnsi="Times New Roman" w:eastAsia="黑体"/>
          <w:sz w:val="32"/>
          <w:highlight w:val="none"/>
          <w:lang w:val="en-US" w:eastAsia="zh-CN"/>
        </w:rPr>
        <w:t>表</w:t>
      </w:r>
      <w:r>
        <w:rPr>
          <w:rFonts w:hint="eastAsia" w:eastAsia="黑体"/>
          <w:sz w:val="32"/>
          <w:highlight w:val="none"/>
          <w:lang w:val="en-US" w:eastAsia="zh-CN"/>
        </w:rPr>
        <w:t>八</w:t>
      </w:r>
    </w:p>
    <w:p w14:paraId="6E12227B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</w:pPr>
      <w:bookmarkStart w:id="48" w:name="_Toc6156"/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  <w:t>2025年县本级国有资本经营收支执行情况总表</w:t>
      </w:r>
      <w:bookmarkEnd w:id="48"/>
    </w:p>
    <w:p w14:paraId="1953A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right"/>
        <w:textAlignment w:val="auto"/>
        <w:rPr>
          <w:rFonts w:hint="default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单位：万元</w:t>
      </w:r>
    </w:p>
    <w:tbl>
      <w:tblPr>
        <w:tblStyle w:val="14"/>
        <w:tblpPr w:leftFromText="180" w:rightFromText="180" w:vertAnchor="text" w:horzAnchor="page" w:tblpX="1673" w:tblpY="511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3"/>
        <w:gridCol w:w="1504"/>
        <w:gridCol w:w="2831"/>
        <w:gridCol w:w="1446"/>
      </w:tblGrid>
      <w:tr w14:paraId="7FA11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60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目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28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收入执行数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28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目</w:t>
            </w: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BD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支出执行数</w:t>
            </w:r>
          </w:p>
        </w:tc>
      </w:tr>
      <w:tr w14:paraId="7B4C9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C7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利润收入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DF6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C3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解决历史遗留问题等支出</w:t>
            </w: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2E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18</w:t>
            </w:r>
          </w:p>
        </w:tc>
      </w:tr>
      <w:tr w14:paraId="17BC3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D3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股利、股息收入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690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CE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国有企业资本金注入</w:t>
            </w: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060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464B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D9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产权转让收入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B1A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CD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其他国有资本经营预算收入</w:t>
            </w: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C4A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3D29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45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清算收入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582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5EE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617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B46A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08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其他国有资本经营预算收入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563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E84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438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AB9C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645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368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1961F">
            <w:pPr>
              <w:pStyle w:val="2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EC6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1655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A0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本年收入合计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56B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72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本年支出合计</w:t>
            </w: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13C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18</w:t>
            </w:r>
          </w:p>
        </w:tc>
      </w:tr>
      <w:tr w14:paraId="48E43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FC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国有资本经营预算转移支付收入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8B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63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调出资金</w:t>
            </w: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AE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4781E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03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上年结转收入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057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6D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补助下级支出</w:t>
            </w: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236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9E95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BAD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5B9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B2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年终结转</w:t>
            </w: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13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12</w:t>
            </w:r>
          </w:p>
        </w:tc>
      </w:tr>
      <w:tr w14:paraId="2C1AD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3D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收入总计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06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30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6F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支出总计</w:t>
            </w: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1C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30</w:t>
            </w:r>
          </w:p>
        </w:tc>
      </w:tr>
    </w:tbl>
    <w:p w14:paraId="75FFE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right"/>
        <w:textAlignment w:val="auto"/>
        <w:rPr>
          <w:rFonts w:hint="default"/>
          <w:highlight w:val="none"/>
          <w:lang w:val="en-US" w:eastAsia="zh-CN"/>
        </w:rPr>
      </w:pPr>
    </w:p>
    <w:p w14:paraId="5583C776">
      <w:pPr>
        <w:rPr>
          <w:rFonts w:hint="default" w:ascii="Times New Roman" w:hAnsi="Times New Roman" w:eastAsia="方正小标宋_GBK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highlight w:val="none"/>
        </w:rPr>
        <w:br w:type="page"/>
      </w:r>
    </w:p>
    <w:p w14:paraId="5EA37D8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bookmarkStart w:id="49" w:name="_Toc418"/>
      <w:bookmarkStart w:id="50" w:name="_Toc2272"/>
      <w:bookmarkStart w:id="51" w:name="_Toc17452"/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关于2025年县本级国有资本经营预算执行情况的说明</w:t>
      </w:r>
      <w:bookmarkEnd w:id="49"/>
      <w:bookmarkEnd w:id="50"/>
      <w:bookmarkEnd w:id="51"/>
    </w:p>
    <w:p w14:paraId="48858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36"/>
          <w:szCs w:val="36"/>
          <w:highlight w:val="none"/>
          <w:lang w:val="en-US" w:eastAsia="zh-CN"/>
        </w:rPr>
      </w:pPr>
    </w:p>
    <w:p w14:paraId="63422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2025年，国有资本经营预算收入预算为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30万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元，实际完成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30万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元；国有资本经营支出预算为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30万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元，实际完成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18万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元。</w:t>
      </w:r>
    </w:p>
    <w:p w14:paraId="11D6B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290FE432">
      <w:pPr>
        <w:rPr>
          <w:rFonts w:hint="default" w:ascii="Times New Roman" w:hAnsi="Times New Roman" w:eastAsia="黑体"/>
          <w:sz w:val="32"/>
          <w:highlight w:val="none"/>
          <w:lang w:val="zh-CN" w:eastAsia="zh-CN"/>
        </w:rPr>
      </w:pPr>
      <w:r>
        <w:rPr>
          <w:rFonts w:hint="default" w:ascii="Times New Roman" w:hAnsi="Times New Roman" w:eastAsia="黑体"/>
          <w:sz w:val="32"/>
          <w:highlight w:val="none"/>
          <w:lang w:val="zh-CN" w:eastAsia="zh-CN"/>
        </w:rPr>
        <w:br w:type="page"/>
      </w:r>
    </w:p>
    <w:p w14:paraId="10B2724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黑体"/>
          <w:sz w:val="32"/>
          <w:highlight w:val="none"/>
          <w:lang w:val="en-US" w:eastAsia="zh-CN"/>
        </w:rPr>
      </w:pPr>
      <w:bookmarkStart w:id="52" w:name="_Toc9527"/>
      <w:r>
        <w:rPr>
          <w:rFonts w:hint="default" w:ascii="Times New Roman" w:hAnsi="Times New Roman" w:eastAsia="黑体"/>
          <w:sz w:val="32"/>
          <w:highlight w:val="none"/>
          <w:lang w:val="en-US" w:eastAsia="zh-CN"/>
        </w:rPr>
        <w:t>表</w:t>
      </w:r>
      <w:r>
        <w:rPr>
          <w:rFonts w:hint="eastAsia" w:eastAsia="黑体"/>
          <w:sz w:val="32"/>
          <w:highlight w:val="none"/>
          <w:lang w:val="en-US" w:eastAsia="zh-CN"/>
        </w:rPr>
        <w:t>九</w:t>
      </w:r>
    </w:p>
    <w:p w14:paraId="4178DD6F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</w:pPr>
      <w:bookmarkStart w:id="53" w:name="_Toc4922"/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  <w:t>2025年政府债务还本付息情况表</w:t>
      </w:r>
      <w:bookmarkEnd w:id="52"/>
      <w:bookmarkEnd w:id="53"/>
    </w:p>
    <w:p w14:paraId="24877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单位：万元</w:t>
      </w:r>
    </w:p>
    <w:tbl>
      <w:tblPr>
        <w:tblStyle w:val="1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7"/>
        <w:gridCol w:w="1614"/>
        <w:gridCol w:w="1623"/>
      </w:tblGrid>
      <w:tr w14:paraId="14D1B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0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58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B4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预算数</w:t>
            </w:r>
          </w:p>
        </w:tc>
        <w:tc>
          <w:tcPr>
            <w:tcW w:w="9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1C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执行数</w:t>
            </w:r>
          </w:p>
        </w:tc>
      </w:tr>
      <w:tr w14:paraId="73033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D3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576F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民权县</w:t>
            </w:r>
          </w:p>
        </w:tc>
        <w:tc>
          <w:tcPr>
            <w:tcW w:w="9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0F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民权县</w:t>
            </w:r>
          </w:p>
        </w:tc>
      </w:tr>
      <w:tr w14:paraId="56E58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04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2025年政府一般债券还本额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F8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EE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4051</w:t>
            </w:r>
          </w:p>
        </w:tc>
      </w:tr>
      <w:tr w14:paraId="43699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67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2025年政府一般债券付息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50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51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5249.2467</w:t>
            </w:r>
          </w:p>
        </w:tc>
      </w:tr>
      <w:tr w14:paraId="1B754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BD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2025年政府专项债券还本额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C2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C1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6680</w:t>
            </w:r>
          </w:p>
        </w:tc>
      </w:tr>
      <w:tr w14:paraId="54696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39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2025年政府专项债券付息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9A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56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25756.761</w:t>
            </w:r>
          </w:p>
        </w:tc>
      </w:tr>
    </w:tbl>
    <w:p w14:paraId="69501E20">
      <w:pPr>
        <w:bidi w:val="0"/>
        <w:ind w:left="0" w:leftChars="0" w:firstLine="0" w:firstLineChars="0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备注：2025年政府专项债券还本额不含再融资债券</w:t>
      </w:r>
    </w:p>
    <w:p w14:paraId="005299D1">
      <w:pPr>
        <w:rPr>
          <w:rFonts w:hint="default" w:ascii="Times New Roman" w:hAnsi="Times New Roman" w:eastAsia="黑体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/>
          <w:sz w:val="32"/>
          <w:highlight w:val="none"/>
          <w:lang w:val="en-US" w:eastAsia="zh-CN"/>
        </w:rPr>
        <w:br w:type="page"/>
      </w:r>
    </w:p>
    <w:p w14:paraId="3975FCF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bookmarkStart w:id="54" w:name="_Toc18454"/>
      <w:bookmarkStart w:id="55" w:name="_Toc17365"/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关于政府债务还本付息情况的说明</w:t>
      </w:r>
      <w:bookmarkEnd w:id="54"/>
      <w:bookmarkEnd w:id="55"/>
    </w:p>
    <w:p w14:paraId="2821B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01556494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2025年政府债务还本付息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41737.0077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万元。</w:t>
      </w:r>
    </w:p>
    <w:p w14:paraId="50818358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2025年政府一般债券还本额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4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05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万元，一般债券付息</w:t>
      </w:r>
      <w:r>
        <w:rPr>
          <w:rFonts w:hint="eastAsia" w:ascii="仿宋" w:hAnsi="仿宋" w:eastAsia="仿宋" w:cs="仿宋"/>
          <w:i w:val="0"/>
          <w:iCs w:val="0"/>
          <w:color w:val="000000"/>
          <w:kern w:val="2"/>
          <w:sz w:val="32"/>
          <w:szCs w:val="32"/>
          <w:highlight w:val="none"/>
          <w:u w:val="none"/>
          <w:lang w:val="en-US" w:eastAsia="zh-CN" w:bidi="ar-SA"/>
        </w:rPr>
        <w:t>5249.2467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万元。</w:t>
      </w:r>
    </w:p>
    <w:p w14:paraId="26123558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2025年政府专项债券还本额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6680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万元，专项债券付息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25756.761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万元。</w:t>
      </w:r>
    </w:p>
    <w:p w14:paraId="473BD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4B3FDBE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/>
          <w:highlight w:val="none"/>
          <w:lang w:val="en-US" w:eastAsia="zh-CN"/>
        </w:rPr>
      </w:pPr>
    </w:p>
    <w:p w14:paraId="33698ACA">
      <w:pPr>
        <w:rPr>
          <w:rFonts w:hint="default" w:ascii="Times New Roman" w:hAnsi="Times New Roman" w:eastAsia="黑体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/>
          <w:sz w:val="32"/>
          <w:highlight w:val="none"/>
          <w:lang w:val="en-US" w:eastAsia="zh-CN"/>
        </w:rPr>
        <w:br w:type="page"/>
      </w:r>
    </w:p>
    <w:p w14:paraId="086957D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黑体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/>
          <w:sz w:val="32"/>
          <w:highlight w:val="none"/>
          <w:lang w:val="en-US" w:eastAsia="zh-CN"/>
        </w:rPr>
        <w:t>表</w:t>
      </w:r>
      <w:r>
        <w:rPr>
          <w:rFonts w:hint="eastAsia" w:eastAsia="黑体"/>
          <w:sz w:val="32"/>
          <w:highlight w:val="none"/>
          <w:lang w:val="en-US" w:eastAsia="zh-CN"/>
        </w:rPr>
        <w:t>十</w:t>
      </w:r>
    </w:p>
    <w:p w14:paraId="4FCDE043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</w:pPr>
      <w:bookmarkStart w:id="56" w:name="_Toc121"/>
      <w:bookmarkStart w:id="57" w:name="_Toc20617"/>
      <w:bookmarkStart w:id="58" w:name="_Toc28690"/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  <w:t>2026年县本级一般公共预算收入预算表（草案）</w:t>
      </w:r>
      <w:bookmarkEnd w:id="56"/>
      <w:bookmarkEnd w:id="57"/>
      <w:bookmarkEnd w:id="58"/>
    </w:p>
    <w:p w14:paraId="093D2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right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单位：万元</w:t>
      </w:r>
    </w:p>
    <w:tbl>
      <w:tblPr>
        <w:tblStyle w:val="14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6"/>
        <w:gridCol w:w="1793"/>
        <w:gridCol w:w="1693"/>
        <w:gridCol w:w="1537"/>
      </w:tblGrid>
      <w:tr w14:paraId="6EC17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BB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C0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预算数</w:t>
            </w: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F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预算数</w:t>
            </w: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54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比上年预算数±％</w:t>
            </w:r>
          </w:p>
        </w:tc>
      </w:tr>
      <w:tr w14:paraId="2AFB8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F1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一.县本级收入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B8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64,100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06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54,200 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DC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18.3 </w:t>
            </w:r>
          </w:p>
        </w:tc>
      </w:tr>
      <w:tr w14:paraId="12D9F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F6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（一）税收收入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2C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42,200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48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28,000 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9E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50.7 </w:t>
            </w:r>
          </w:p>
        </w:tc>
      </w:tr>
      <w:tr w14:paraId="710A4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52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增值税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E1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15,129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90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8,500 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91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78.0 </w:t>
            </w:r>
          </w:p>
        </w:tc>
      </w:tr>
      <w:tr w14:paraId="779E1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18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企业所得税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40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2,959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B2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2,100 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C2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40.9 </w:t>
            </w:r>
          </w:p>
        </w:tc>
      </w:tr>
      <w:tr w14:paraId="597A5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55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个人所得税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FB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5B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400 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54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-50.0 </w:t>
            </w:r>
          </w:p>
        </w:tc>
      </w:tr>
      <w:tr w14:paraId="0583C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A7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资源税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49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9,258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56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AD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9158.0 </w:t>
            </w:r>
          </w:p>
        </w:tc>
      </w:tr>
      <w:tr w14:paraId="748C9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A5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城市维护建设税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CC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1,101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C6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1,100 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B2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0.1 </w:t>
            </w:r>
          </w:p>
        </w:tc>
      </w:tr>
      <w:tr w14:paraId="5D6DB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2F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房产税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27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1,100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C0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1,000 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85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10.0 </w:t>
            </w:r>
          </w:p>
        </w:tc>
      </w:tr>
      <w:tr w14:paraId="09E8F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D4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印花税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AE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289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C9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600 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2B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-51.8 </w:t>
            </w:r>
          </w:p>
        </w:tc>
      </w:tr>
      <w:tr w14:paraId="0D37B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F5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城镇土地使用税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52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4,444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1F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1,900 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86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133.9 </w:t>
            </w:r>
          </w:p>
        </w:tc>
      </w:tr>
      <w:tr w14:paraId="34B02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23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土地增值税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67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2,110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58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3,300 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D3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-36.1 </w:t>
            </w:r>
          </w:p>
        </w:tc>
      </w:tr>
      <w:tr w14:paraId="0BD8F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F4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车船税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A2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3,400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5F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5,500 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F5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-38.2 </w:t>
            </w:r>
          </w:p>
        </w:tc>
      </w:tr>
      <w:tr w14:paraId="7EABA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B9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耕地占用税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B4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404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A5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1,200 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DA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-66.3 </w:t>
            </w:r>
          </w:p>
        </w:tc>
      </w:tr>
      <w:tr w14:paraId="0AFF2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8E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契税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F0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1,690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EC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2,100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5D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-19.5 </w:t>
            </w:r>
          </w:p>
        </w:tc>
      </w:tr>
      <w:tr w14:paraId="277AC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73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环境保护税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15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2C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AC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-42.0 </w:t>
            </w:r>
          </w:p>
        </w:tc>
      </w:tr>
      <w:tr w14:paraId="48A56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26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其他税收收入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06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8A4A7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9C963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37DB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91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（二）非税收入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CA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21,900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3D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26,200 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9C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-16.4 </w:t>
            </w:r>
          </w:p>
        </w:tc>
      </w:tr>
      <w:tr w14:paraId="3C83D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5E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专项收入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9F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545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D3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410 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73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32.9 </w:t>
            </w:r>
          </w:p>
        </w:tc>
      </w:tr>
      <w:tr w14:paraId="68134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8B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行政事业性收费收入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78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1,600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CB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3,200 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8F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-50.0 </w:t>
            </w:r>
          </w:p>
        </w:tc>
      </w:tr>
      <w:tr w14:paraId="54B45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A4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罚没收入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62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6,000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E2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12,280 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7C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-51.1 </w:t>
            </w:r>
          </w:p>
        </w:tc>
      </w:tr>
      <w:tr w14:paraId="656FD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D8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国有资本经营收入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F0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67D74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41080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80E1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F8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国有资源(资产)有偿使用收入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0C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13,596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5B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10,120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C2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34.3 </w:t>
            </w:r>
          </w:p>
        </w:tc>
      </w:tr>
      <w:tr w14:paraId="0A4D4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52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捐赠收入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D8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FD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190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29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-16.3 </w:t>
            </w:r>
          </w:p>
        </w:tc>
      </w:tr>
      <w:tr w14:paraId="0DF5D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96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其他收入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B4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7C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FD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27DB61AF">
      <w:pPr>
        <w:rPr>
          <w:rFonts w:hint="default" w:ascii="Times New Roman" w:hAnsi="Times New Roman" w:eastAsia="方正小标宋_GBK" w:cs="Times New Roman"/>
          <w:b w:val="0"/>
          <w:bCs/>
          <w:color w:val="auto"/>
          <w:kern w:val="44"/>
          <w:sz w:val="32"/>
          <w:szCs w:val="32"/>
          <w:highlight w:val="none"/>
          <w:lang w:val="en-US" w:eastAsia="zh-Hans" w:bidi="ar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auto"/>
          <w:kern w:val="44"/>
          <w:sz w:val="32"/>
          <w:szCs w:val="32"/>
          <w:highlight w:val="none"/>
          <w:lang w:val="en-US" w:eastAsia="zh-Hans" w:bidi="ar"/>
        </w:rPr>
        <w:br w:type="page"/>
      </w:r>
    </w:p>
    <w:p w14:paraId="4CF4D2B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</w:pPr>
      <w:bookmarkStart w:id="59" w:name="_Toc8914"/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  <w:t>关于202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县本级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  <w:t>一般公共预算收入预算情况的说明</w:t>
      </w:r>
      <w:bookmarkEnd w:id="59"/>
    </w:p>
    <w:p w14:paraId="011FFFD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/>
          <w:highlight w:val="none"/>
          <w:lang w:val="en-US" w:eastAsia="zh-Hans"/>
        </w:rPr>
      </w:pPr>
    </w:p>
    <w:p w14:paraId="6645D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2026年县本级一般公共预算收入安排64100万元，比2025年预算54200万元增长18.3%。其中，税收收入42200万元，增长50.7%；非税收入21900万元，下降16.4%。主要项目情况是：</w:t>
      </w:r>
    </w:p>
    <w:p w14:paraId="4E5B1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增值税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15129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，增长78%。</w:t>
      </w:r>
    </w:p>
    <w:p w14:paraId="5EBF2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企业所得税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2959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增长40.9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0ECF5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个人所得税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200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下降50%。</w:t>
      </w:r>
    </w:p>
    <w:p w14:paraId="7FBC4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资源税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9258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增长9158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63BD4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城市维护建设税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1101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增长0.1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13FBA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房产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1100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元，增长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61596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印花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289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下降51.8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29A6B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城镇土地使用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4444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增长133.9%。</w:t>
      </w:r>
    </w:p>
    <w:p w14:paraId="6FB1C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土地增值税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2110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下降36.1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2EFB7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车船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3400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下降38.2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21575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耕地占用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404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，下降66.3%。</w:t>
      </w:r>
    </w:p>
    <w:p w14:paraId="3B5AD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契税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1690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，下降19.5%。</w:t>
      </w:r>
    </w:p>
    <w:p w14:paraId="501BC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环境保护税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116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，下降42%。</w:t>
      </w:r>
    </w:p>
    <w:p w14:paraId="4A363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专项收入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545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，增长32.9%。</w:t>
      </w:r>
    </w:p>
    <w:p w14:paraId="07F6B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行政事业性收费收入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1600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下降50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2B6D8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罚没收入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6000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下降51.1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15E75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国有资源（资产）有偿使用收入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13596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增长34.3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5C01C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捐赠收入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159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元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下降16.3%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409DF814">
      <w:pP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br w:type="page"/>
      </w:r>
    </w:p>
    <w:p w14:paraId="4F9EEE1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黑体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/>
          <w:sz w:val="32"/>
          <w:highlight w:val="none"/>
          <w:lang w:val="en-US" w:eastAsia="zh-CN"/>
        </w:rPr>
        <w:t>表</w:t>
      </w:r>
      <w:r>
        <w:rPr>
          <w:rFonts w:hint="eastAsia" w:eastAsia="黑体"/>
          <w:sz w:val="32"/>
          <w:highlight w:val="none"/>
          <w:lang w:val="en-US" w:eastAsia="zh-CN"/>
        </w:rPr>
        <w:t>十一</w:t>
      </w:r>
    </w:p>
    <w:p w14:paraId="40134F02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</w:pPr>
      <w:bookmarkStart w:id="60" w:name="_Toc1788"/>
      <w:bookmarkStart w:id="61" w:name="_Toc13590"/>
      <w:bookmarkStart w:id="62" w:name="_Toc26753"/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  <w:t>2026年县本级一般公共预算支出预算表（草案）</w:t>
      </w:r>
      <w:bookmarkEnd w:id="60"/>
      <w:bookmarkEnd w:id="61"/>
      <w:bookmarkEnd w:id="62"/>
    </w:p>
    <w:p w14:paraId="72C01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right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单位：万元</w:t>
      </w:r>
    </w:p>
    <w:tbl>
      <w:tblPr>
        <w:tblStyle w:val="1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6"/>
        <w:gridCol w:w="1816"/>
        <w:gridCol w:w="1636"/>
        <w:gridCol w:w="2056"/>
      </w:tblGrid>
      <w:tr w14:paraId="2FE91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6F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C6B3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2026年</w:t>
            </w:r>
          </w:p>
          <w:p w14:paraId="68C97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预算数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0D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</w:t>
            </w:r>
          </w:p>
          <w:p w14:paraId="2C015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预算数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14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比上年预算数±%</w:t>
            </w:r>
          </w:p>
        </w:tc>
      </w:tr>
      <w:tr w14:paraId="16014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41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一.县本级支出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85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366,100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DF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348,990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E7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4.9</w:t>
            </w:r>
          </w:p>
        </w:tc>
      </w:tr>
      <w:tr w14:paraId="21958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47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92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34,530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21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28,313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0B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22.0</w:t>
            </w:r>
          </w:p>
        </w:tc>
      </w:tr>
      <w:tr w14:paraId="03199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4D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国防支出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7F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9F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16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250.0</w:t>
            </w:r>
          </w:p>
        </w:tc>
      </w:tr>
      <w:tr w14:paraId="56DE8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EE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公共安全支出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A1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16,831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2C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15,219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5F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10.6</w:t>
            </w:r>
          </w:p>
        </w:tc>
      </w:tr>
      <w:tr w14:paraId="08173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55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9B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110,945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7D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93,295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D2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18.9</w:t>
            </w:r>
          </w:p>
        </w:tc>
      </w:tr>
      <w:tr w14:paraId="4F7B3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BE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科学技术支出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DF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888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64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861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53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3.1</w:t>
            </w:r>
          </w:p>
        </w:tc>
      </w:tr>
      <w:tr w14:paraId="65D10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D7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文化旅游体育与传媒支出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2C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2,003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44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1,699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3E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17.9</w:t>
            </w:r>
          </w:p>
        </w:tc>
      </w:tr>
      <w:tr w14:paraId="0A724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EF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48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70,907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78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66,491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5C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6.6</w:t>
            </w:r>
          </w:p>
        </w:tc>
      </w:tr>
      <w:tr w14:paraId="3FF2E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22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7D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41,082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45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30,029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E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36.8</w:t>
            </w:r>
          </w:p>
        </w:tc>
      </w:tr>
      <w:tr w14:paraId="15032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62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节能环保支出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78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748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4A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547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6C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36.7</w:t>
            </w:r>
          </w:p>
        </w:tc>
      </w:tr>
      <w:tr w14:paraId="5C2B6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E0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城乡社区支出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D8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5,307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30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4,336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BE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22.4</w:t>
            </w:r>
          </w:p>
        </w:tc>
      </w:tr>
      <w:tr w14:paraId="47C07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8E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农林水支出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2D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42,892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6C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52,288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0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-18.0</w:t>
            </w:r>
          </w:p>
        </w:tc>
      </w:tr>
      <w:tr w14:paraId="1A2B6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7D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交通运输支出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0F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4,668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5F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4,524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6A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3.2</w:t>
            </w:r>
          </w:p>
        </w:tc>
      </w:tr>
      <w:tr w14:paraId="47AC9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4B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资源勘探工业信息等支出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46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D6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2C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25.0</w:t>
            </w:r>
          </w:p>
        </w:tc>
      </w:tr>
      <w:tr w14:paraId="29058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5A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商业服务业等支出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8A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05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F7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6.8</w:t>
            </w:r>
          </w:p>
        </w:tc>
      </w:tr>
      <w:tr w14:paraId="22F73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47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BF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F8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0E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3C98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36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援助其他地区支出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82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2E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25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825B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56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自然资源海洋气象等支出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59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1,935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41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1,810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0B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6.9</w:t>
            </w:r>
          </w:p>
        </w:tc>
      </w:tr>
      <w:tr w14:paraId="6E6D4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B1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96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11,758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15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11,056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25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6.3</w:t>
            </w:r>
          </w:p>
        </w:tc>
      </w:tr>
      <w:tr w14:paraId="2E9CD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39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粮油物资储备支出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B3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596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D3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519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E5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14.8</w:t>
            </w:r>
          </w:p>
        </w:tc>
      </w:tr>
      <w:tr w14:paraId="39FEB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84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灾害防治及应急管理支出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50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1,660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D1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1,128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34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47.2</w:t>
            </w:r>
          </w:p>
        </w:tc>
      </w:tr>
      <w:tr w14:paraId="61D9F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87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预备费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06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4,000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E4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4,000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BB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D5B5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8C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BD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9,297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8D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26,368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7A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-64.7</w:t>
            </w:r>
          </w:p>
        </w:tc>
      </w:tr>
      <w:tr w14:paraId="10893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29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债务付息支出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54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5,495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48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6,033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E8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-8.9</w:t>
            </w:r>
          </w:p>
        </w:tc>
      </w:tr>
    </w:tbl>
    <w:p w14:paraId="368A352E">
      <w:pPr>
        <w:rPr>
          <w:rFonts w:hint="default" w:ascii="Times New Roman" w:hAnsi="Times New Roman" w:eastAsia="方正小标宋_GBK" w:cs="Times New Roman"/>
          <w:bCs/>
          <w:color w:val="auto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32"/>
          <w:szCs w:val="32"/>
          <w:highlight w:val="none"/>
          <w:lang w:val="zh-CN"/>
        </w:rPr>
        <w:br w:type="page"/>
      </w:r>
    </w:p>
    <w:p w14:paraId="61FC096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</w:pPr>
      <w:bookmarkStart w:id="63" w:name="_Toc15580"/>
      <w:bookmarkStart w:id="64" w:name="_Toc4281"/>
      <w:bookmarkStart w:id="65" w:name="_Toc12155"/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  <w:t>关于202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县本级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  <w:t>一般公共预算支出预算情况的说明</w:t>
      </w:r>
      <w:bookmarkEnd w:id="63"/>
      <w:bookmarkEnd w:id="64"/>
      <w:bookmarkEnd w:id="65"/>
    </w:p>
    <w:p w14:paraId="6E68E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/>
          <w:highlight w:val="none"/>
          <w:lang w:val="en-US" w:eastAsia="zh-Hans"/>
        </w:rPr>
      </w:pPr>
    </w:p>
    <w:p w14:paraId="22D6C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2026年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本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级一般公共预算支出3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66100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2025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年预算数3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48990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万元增长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4.9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%，主要支出科目情况是：</w:t>
      </w:r>
    </w:p>
    <w:p w14:paraId="60C69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一般公共服务支出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34530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万元，增长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22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0ECF8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国防支出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175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万元，增长2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50%。</w:t>
      </w:r>
    </w:p>
    <w:p w14:paraId="59F4B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公共安全支出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16831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万元，增长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10.6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6924D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教育支出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110945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增长18.9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4A133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科学技术支出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888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增长3.1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159C1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文化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旅游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体育与传媒支出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2003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增长17.9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01A34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社会保障和就业支出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70907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万元，增长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6.6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495E1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卫生健康支出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41082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万元，增长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36.8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6F383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节能环保支出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748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增长36.7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50EA1B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城乡社区支出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5307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增长22.4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30DC3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农林水支出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42892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万元，下降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46801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交通运输支出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4668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增长3.2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0BBA7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资源勘探工业信息等支出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180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增长25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28440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商业服务业等支出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203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增长6.8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42113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自然资源海洋气象等支出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1935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增长6.9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7EE2C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住房保障支出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11758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万元，增长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6.3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4A09C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粮油物资储备支出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596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增长14.8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2170C0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灾害防治及应急管理支出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1660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增长47.2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609F7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预备费4000万元，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与上年持平。</w:t>
      </w:r>
    </w:p>
    <w:p w14:paraId="0D873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其他支出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9297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下降64.7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19544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债务付息支出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5495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下降8.9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57E76ACC">
      <w:pPr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br w:type="page"/>
      </w:r>
    </w:p>
    <w:p w14:paraId="549D059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黑体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/>
          <w:sz w:val="32"/>
          <w:highlight w:val="none"/>
          <w:lang w:val="en-US" w:eastAsia="zh-CN"/>
        </w:rPr>
        <w:t>表</w:t>
      </w:r>
      <w:r>
        <w:rPr>
          <w:rFonts w:hint="eastAsia" w:eastAsia="黑体"/>
          <w:sz w:val="32"/>
          <w:highlight w:val="none"/>
          <w:lang w:val="en-US" w:eastAsia="zh-CN"/>
        </w:rPr>
        <w:t>十二</w:t>
      </w:r>
    </w:p>
    <w:p w14:paraId="1059FCFC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</w:pPr>
      <w:bookmarkStart w:id="66" w:name="_Toc22994"/>
      <w:bookmarkStart w:id="67" w:name="_Toc23185"/>
      <w:bookmarkStart w:id="68" w:name="_Toc28158"/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  <w:t>2026年县本级政府性基金预算收入表（草案）</w:t>
      </w:r>
      <w:bookmarkEnd w:id="66"/>
      <w:bookmarkEnd w:id="67"/>
      <w:bookmarkEnd w:id="68"/>
    </w:p>
    <w:p w14:paraId="4F211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right"/>
        <w:textAlignment w:val="auto"/>
        <w:rPr>
          <w:rFonts w:hint="eastAsia" w:ascii="仿宋_GB2312" w:hAnsi="仿宋_GB2312" w:eastAsia="仿宋_GB2312" w:cs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单位：万元</w:t>
      </w:r>
    </w:p>
    <w:tbl>
      <w:tblPr>
        <w:tblStyle w:val="1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2"/>
        <w:gridCol w:w="1802"/>
        <w:gridCol w:w="1803"/>
        <w:gridCol w:w="1803"/>
      </w:tblGrid>
      <w:tr w14:paraId="02C46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AE2C61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5D8A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预算数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07ED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调整预算数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8E0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比上年决算数±%</w:t>
            </w:r>
          </w:p>
        </w:tc>
      </w:tr>
      <w:tr w14:paraId="48974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21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政府性基金收入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9D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55,309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A0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49,800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DA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11.1</w:t>
            </w:r>
          </w:p>
        </w:tc>
      </w:tr>
      <w:tr w14:paraId="41D1A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F9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国有土地收益基金收入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57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56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D38F4">
            <w:pPr>
              <w:jc w:val="righ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155D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80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农业土地开发资金收入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37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D9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7FBAA">
            <w:pPr>
              <w:jc w:val="righ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E863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E8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国有土地使用权出让收入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8D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50,000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3C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42,000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63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19.0</w:t>
            </w:r>
          </w:p>
        </w:tc>
      </w:tr>
      <w:tr w14:paraId="1A8C0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42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城市基础设施配套费收入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CD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1,000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55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3,491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23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-71.4</w:t>
            </w:r>
          </w:p>
        </w:tc>
      </w:tr>
      <w:tr w14:paraId="1B201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6D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污水处理费收入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F7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1,200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EE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1,200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880E8">
            <w:pPr>
              <w:jc w:val="righ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F6E1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E6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其他地方自行试点项目收益专项债券对应项目专项收入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3D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3,109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C9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3,109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57EA1">
            <w:pPr>
              <w:jc w:val="righ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2FA0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B7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08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1,082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A1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1,564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80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-30.8</w:t>
            </w:r>
          </w:p>
        </w:tc>
      </w:tr>
      <w:tr w14:paraId="370A2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E1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地方政府专项债券转贷收入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D5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0C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15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FDC5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64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上年结余收入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F9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76,585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F1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63,037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E7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21.5</w:t>
            </w:r>
          </w:p>
        </w:tc>
      </w:tr>
      <w:tr w14:paraId="03329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AA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调入资金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85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64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10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7011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CA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基金收入总计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6C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132,976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CE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114,401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60828">
            <w:pPr>
              <w:jc w:val="righ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16.2</w:t>
            </w:r>
          </w:p>
        </w:tc>
      </w:tr>
    </w:tbl>
    <w:p w14:paraId="0AB5EC80">
      <w:pPr>
        <w:widowControl/>
        <w:adjustRightInd w:val="0"/>
        <w:snapToGrid w:val="0"/>
        <w:spacing w:line="560" w:lineRule="exact"/>
        <w:outlineLvl w:val="9"/>
        <w:rPr>
          <w:rFonts w:hint="default" w:ascii="Times New Roman" w:hAnsi="Times New Roman" w:eastAsia="方正小标宋_GBK" w:cs="Times New Roman"/>
          <w:bCs/>
          <w:color w:val="000000"/>
          <w:sz w:val="32"/>
          <w:szCs w:val="32"/>
          <w:highlight w:val="none"/>
          <w:lang w:val="zh-CN"/>
        </w:rPr>
      </w:pPr>
    </w:p>
    <w:p w14:paraId="4AFBCE63">
      <w:pPr>
        <w:widowControl/>
        <w:adjustRightInd w:val="0"/>
        <w:snapToGrid w:val="0"/>
        <w:spacing w:line="560" w:lineRule="exact"/>
        <w:outlineLvl w:val="9"/>
        <w:rPr>
          <w:rFonts w:hint="default" w:ascii="Times New Roman" w:hAnsi="Times New Roman" w:eastAsia="方正小标宋_GBK" w:cs="Times New Roman"/>
          <w:bCs/>
          <w:color w:val="000000"/>
          <w:sz w:val="32"/>
          <w:szCs w:val="32"/>
          <w:highlight w:val="none"/>
          <w:lang w:val="zh-CN"/>
        </w:rPr>
      </w:pPr>
    </w:p>
    <w:p w14:paraId="7CC63E73">
      <w:pPr>
        <w:widowControl/>
        <w:adjustRightInd w:val="0"/>
        <w:snapToGrid w:val="0"/>
        <w:spacing w:line="560" w:lineRule="exact"/>
        <w:outlineLvl w:val="9"/>
        <w:rPr>
          <w:rFonts w:hint="default" w:ascii="Times New Roman" w:hAnsi="Times New Roman" w:eastAsia="方正小标宋_GBK" w:cs="Times New Roman"/>
          <w:bCs/>
          <w:color w:val="000000"/>
          <w:sz w:val="32"/>
          <w:szCs w:val="32"/>
          <w:highlight w:val="none"/>
          <w:lang w:val="zh-CN"/>
        </w:rPr>
      </w:pPr>
    </w:p>
    <w:p w14:paraId="211EC906">
      <w:pPr>
        <w:widowControl/>
        <w:adjustRightInd w:val="0"/>
        <w:snapToGrid w:val="0"/>
        <w:spacing w:line="560" w:lineRule="exact"/>
        <w:outlineLvl w:val="9"/>
        <w:rPr>
          <w:rFonts w:hint="default" w:ascii="Times New Roman" w:hAnsi="Times New Roman" w:eastAsia="方正小标宋_GBK" w:cs="Times New Roman"/>
          <w:bCs/>
          <w:color w:val="000000"/>
          <w:sz w:val="32"/>
          <w:szCs w:val="32"/>
          <w:highlight w:val="none"/>
          <w:lang w:val="zh-CN"/>
        </w:rPr>
      </w:pPr>
    </w:p>
    <w:p w14:paraId="6F565579">
      <w:pPr>
        <w:widowControl/>
        <w:adjustRightInd w:val="0"/>
        <w:snapToGrid w:val="0"/>
        <w:spacing w:line="560" w:lineRule="exact"/>
        <w:outlineLvl w:val="9"/>
        <w:rPr>
          <w:rFonts w:hint="default" w:ascii="Times New Roman" w:hAnsi="Times New Roman" w:eastAsia="方正小标宋_GBK" w:cs="Times New Roman"/>
          <w:bCs/>
          <w:color w:val="000000"/>
          <w:sz w:val="32"/>
          <w:szCs w:val="32"/>
          <w:highlight w:val="none"/>
          <w:lang w:val="zh-CN"/>
        </w:rPr>
      </w:pPr>
    </w:p>
    <w:p w14:paraId="420FF2DF">
      <w:pPr>
        <w:widowControl/>
        <w:adjustRightInd w:val="0"/>
        <w:snapToGrid w:val="0"/>
        <w:spacing w:line="560" w:lineRule="exact"/>
        <w:outlineLvl w:val="9"/>
        <w:rPr>
          <w:rFonts w:hint="default" w:ascii="Times New Roman" w:hAnsi="Times New Roman" w:eastAsia="方正小标宋_GBK" w:cs="Times New Roman"/>
          <w:bCs/>
          <w:color w:val="000000"/>
          <w:sz w:val="32"/>
          <w:szCs w:val="32"/>
          <w:highlight w:val="none"/>
          <w:lang w:val="zh-CN"/>
        </w:rPr>
      </w:pPr>
    </w:p>
    <w:p w14:paraId="20BDFC27">
      <w:pPr>
        <w:widowControl/>
        <w:adjustRightInd w:val="0"/>
        <w:snapToGrid w:val="0"/>
        <w:spacing w:line="560" w:lineRule="exact"/>
        <w:outlineLvl w:val="9"/>
        <w:rPr>
          <w:rFonts w:hint="default" w:ascii="Times New Roman" w:hAnsi="Times New Roman" w:eastAsia="方正小标宋_GBK" w:cs="Times New Roman"/>
          <w:bCs/>
          <w:color w:val="000000"/>
          <w:sz w:val="32"/>
          <w:szCs w:val="32"/>
          <w:highlight w:val="none"/>
          <w:lang w:val="zh-CN"/>
        </w:rPr>
      </w:pPr>
    </w:p>
    <w:p w14:paraId="39D21943">
      <w:pPr>
        <w:widowControl/>
        <w:adjustRightInd w:val="0"/>
        <w:snapToGrid w:val="0"/>
        <w:spacing w:line="560" w:lineRule="exact"/>
        <w:outlineLvl w:val="9"/>
        <w:rPr>
          <w:rFonts w:hint="default" w:ascii="Times New Roman" w:hAnsi="Times New Roman" w:eastAsia="方正小标宋_GBK" w:cs="Times New Roman"/>
          <w:bCs/>
          <w:color w:val="000000"/>
          <w:sz w:val="32"/>
          <w:szCs w:val="32"/>
          <w:highlight w:val="none"/>
          <w:lang w:val="zh-CN"/>
        </w:rPr>
      </w:pPr>
    </w:p>
    <w:p w14:paraId="14C3672E">
      <w:pPr>
        <w:rPr>
          <w:rFonts w:hint="default" w:ascii="Times New Roman" w:hAnsi="Times New Roman" w:eastAsia="方正小标宋_GBK" w:cs="Times New Roman"/>
          <w:bCs/>
          <w:color w:val="00000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小标宋_GBK" w:cs="Times New Roman"/>
          <w:bCs/>
          <w:color w:val="000000"/>
          <w:sz w:val="32"/>
          <w:szCs w:val="32"/>
          <w:highlight w:val="none"/>
          <w:lang w:val="zh-CN"/>
        </w:rPr>
        <w:br w:type="page"/>
      </w:r>
    </w:p>
    <w:p w14:paraId="40EB4F3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</w:pPr>
      <w:bookmarkStart w:id="69" w:name="_Toc22044"/>
      <w:bookmarkStart w:id="70" w:name="_Toc23534"/>
      <w:bookmarkStart w:id="71" w:name="_Toc32597"/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  <w:t>关于202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县本级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  <w:t>政府性基金收入预算情况的说明</w:t>
      </w:r>
      <w:bookmarkEnd w:id="69"/>
      <w:bookmarkEnd w:id="70"/>
      <w:bookmarkEnd w:id="71"/>
    </w:p>
    <w:p w14:paraId="61C13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/>
          <w:highlight w:val="none"/>
          <w:lang w:val="en-US" w:eastAsia="zh-Hans"/>
        </w:rPr>
      </w:pPr>
    </w:p>
    <w:p w14:paraId="1F6C3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年县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本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级政府性基金收入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预算132976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2025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调整预算114401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增长16.2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%；其中，县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本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级政府性基金收入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55309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万元，上年结转收入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76585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万元，上级补助收入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1082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万元。</w:t>
      </w:r>
    </w:p>
    <w:p w14:paraId="3CC89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本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级政府性基金收入预算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55309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万元安排情况是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：</w:t>
      </w:r>
    </w:p>
    <w:p w14:paraId="67811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国有土地使用权出让金收入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50000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增长19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62208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城市基础设施配套费收入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1000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下降71.4%。</w:t>
      </w:r>
    </w:p>
    <w:p w14:paraId="5BB0B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污水处理费收入1200万元，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与上年持平。</w:t>
      </w:r>
    </w:p>
    <w:p w14:paraId="60542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上级补助收入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1082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下降30.8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1A4DE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其他地方自行试点项目收益专项债券对应项目专项收入3109万元，与去年持平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5F0E7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上年结余收入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76585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万元，增长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21.5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%。</w:t>
      </w:r>
    </w:p>
    <w:p w14:paraId="77E4384B">
      <w:pPr>
        <w:rPr>
          <w:rFonts w:hint="default" w:ascii="Times New Roman" w:hAnsi="Times New Roman" w:eastAsia="方正小标宋_GBK" w:cs="Times New Roman"/>
          <w:bCs/>
          <w:color w:val="00000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小标宋_GBK" w:cs="Times New Roman"/>
          <w:bCs/>
          <w:color w:val="000000"/>
          <w:sz w:val="32"/>
          <w:szCs w:val="32"/>
          <w:highlight w:val="none"/>
          <w:lang w:val="zh-CN"/>
        </w:rPr>
        <w:br w:type="page"/>
      </w:r>
    </w:p>
    <w:p w14:paraId="44F5E2B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黑体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/>
          <w:sz w:val="32"/>
          <w:highlight w:val="none"/>
          <w:lang w:val="en-US" w:eastAsia="zh-CN"/>
        </w:rPr>
        <w:t>表</w:t>
      </w:r>
      <w:r>
        <w:rPr>
          <w:rFonts w:hint="eastAsia" w:eastAsia="黑体"/>
          <w:sz w:val="32"/>
          <w:highlight w:val="none"/>
          <w:lang w:val="en-US" w:eastAsia="zh-CN"/>
        </w:rPr>
        <w:t>十三</w:t>
      </w:r>
    </w:p>
    <w:p w14:paraId="22B5EEBE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</w:pPr>
      <w:bookmarkStart w:id="72" w:name="_Toc3854"/>
      <w:bookmarkStart w:id="73" w:name="_Toc31470"/>
      <w:bookmarkStart w:id="74" w:name="_Toc7080"/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  <w:t>2026年县本级政府性基金预算支出表（草案）</w:t>
      </w:r>
      <w:bookmarkEnd w:id="72"/>
      <w:bookmarkEnd w:id="73"/>
      <w:bookmarkEnd w:id="74"/>
    </w:p>
    <w:p w14:paraId="7492A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单位：万元</w:t>
      </w:r>
    </w:p>
    <w:tbl>
      <w:tblPr>
        <w:tblStyle w:val="14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4"/>
        <w:gridCol w:w="1080"/>
        <w:gridCol w:w="1746"/>
        <w:gridCol w:w="1359"/>
      </w:tblGrid>
      <w:tr w14:paraId="131BA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6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F0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232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5B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县本级</w:t>
            </w:r>
          </w:p>
        </w:tc>
      </w:tr>
      <w:tr w14:paraId="6D63B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6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35B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D5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小计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E1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当年收入安排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38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上年结转</w:t>
            </w:r>
          </w:p>
        </w:tc>
      </w:tr>
      <w:tr w14:paraId="2549B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56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政府性基金支出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7C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132,976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48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56,391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B6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76,585</w:t>
            </w:r>
          </w:p>
        </w:tc>
      </w:tr>
      <w:tr w14:paraId="062C0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67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文化旅游体育与传媒支出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2E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5B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9C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</w:tr>
      <w:tr w14:paraId="1255A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71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国家电影事业发展专项资金安排的支出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CB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DB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D728B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75EC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AC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旅游发展基金支出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53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0E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FB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</w:tr>
      <w:tr w14:paraId="5E1F0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11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城乡社区支出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C9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48,654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E8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25,109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9E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23,545</w:t>
            </w:r>
          </w:p>
        </w:tc>
      </w:tr>
      <w:tr w14:paraId="15211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9B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国有土地使用权出让收入安排的支出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89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34,610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67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22,909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BF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11,701</w:t>
            </w:r>
          </w:p>
        </w:tc>
      </w:tr>
      <w:tr w14:paraId="37F2D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E7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国有土地收益基金安排的支出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3D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48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B9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</w:t>
            </w:r>
          </w:p>
        </w:tc>
      </w:tr>
      <w:tr w14:paraId="3233E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5E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农业土地开发资金安排的支出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D3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1F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4E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</w:tr>
      <w:tr w14:paraId="16C7D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AA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城市基础设施配套费安排的支出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5B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1,000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29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1,000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8F197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463F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71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其他棚户区改造专项债券收入安排的支出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96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1,800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30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73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1,800</w:t>
            </w:r>
          </w:p>
        </w:tc>
      </w:tr>
      <w:tr w14:paraId="7AC3F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40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其他国有土地使用权出让收入对应专项债务收入安排的支出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49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2,500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B0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BB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2,500</w:t>
            </w:r>
          </w:p>
        </w:tc>
      </w:tr>
      <w:tr w14:paraId="61F8D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4F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污水处理费安排的支出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F0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1,458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31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1,200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4E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258</w:t>
            </w:r>
          </w:p>
        </w:tc>
      </w:tr>
      <w:tr w14:paraId="26AB3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1E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超长期特别国债安排的支出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1A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7,184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0B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4E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7,184</w:t>
            </w:r>
          </w:p>
        </w:tc>
      </w:tr>
      <w:tr w14:paraId="1336A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65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农林水支出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92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20,495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F3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554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EF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19,941</w:t>
            </w:r>
          </w:p>
        </w:tc>
      </w:tr>
      <w:tr w14:paraId="7CBC4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67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大中型水库库区基金安排的支出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8C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678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D5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554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6E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124</w:t>
            </w:r>
          </w:p>
        </w:tc>
      </w:tr>
      <w:tr w14:paraId="11C83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F3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大中型水库移民后期扶持基金支出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AC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1,017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12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F6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1,017</w:t>
            </w:r>
          </w:p>
        </w:tc>
      </w:tr>
      <w:tr w14:paraId="09208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86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超长期特别国债安排的支出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98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18,800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1B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17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18,800</w:t>
            </w:r>
          </w:p>
        </w:tc>
      </w:tr>
      <w:tr w14:paraId="0A271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86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资源勘探工业信息等支出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B9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44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5A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5F796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9E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超长期特别国债安排的支出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53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25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E3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6CC88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92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1D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33,597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2A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522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56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33,075</w:t>
            </w:r>
          </w:p>
        </w:tc>
      </w:tr>
      <w:tr w14:paraId="619F8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E2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其他政府性基金安排及对应专项债务收入安排的支出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F4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30,672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1F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39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30,672</w:t>
            </w:r>
          </w:p>
        </w:tc>
      </w:tr>
      <w:tr w14:paraId="709E3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5F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彩票公益金安排的支出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A3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2,925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6F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522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54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2,403</w:t>
            </w:r>
          </w:p>
        </w:tc>
      </w:tr>
      <w:tr w14:paraId="56163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68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债券还本付息及发行费支出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CE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30,000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07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30,000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F4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8514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D1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地方政府专项债务发行费用支出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04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A6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6E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9B09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FC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地方政府专项债务付息支出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24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29,990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3A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29,990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79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F445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BB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上解支出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EB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D7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89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AE48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2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39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调出资金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B1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BB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2E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4A19E0CF">
      <w:pPr>
        <w:rPr>
          <w:rFonts w:hint="default" w:ascii="Times New Roman" w:hAnsi="Times New Roman" w:cs="Times New Roman" w:eastAsiaTheme="majorEastAsia"/>
          <w:b w:val="0"/>
          <w:bCs/>
          <w:kern w:val="44"/>
          <w:sz w:val="36"/>
          <w:szCs w:val="36"/>
          <w:highlight w:val="none"/>
          <w:lang w:val="en-US" w:eastAsia="zh-Hans" w:bidi="ar"/>
        </w:rPr>
      </w:pPr>
      <w:r>
        <w:rPr>
          <w:rFonts w:hint="default" w:ascii="Times New Roman" w:hAnsi="Times New Roman" w:cs="Times New Roman" w:eastAsiaTheme="majorEastAsia"/>
          <w:b w:val="0"/>
          <w:bCs/>
          <w:kern w:val="44"/>
          <w:sz w:val="36"/>
          <w:szCs w:val="36"/>
          <w:highlight w:val="none"/>
          <w:lang w:val="en-US" w:eastAsia="zh-Hans" w:bidi="ar"/>
        </w:rPr>
        <w:br w:type="page"/>
      </w:r>
    </w:p>
    <w:p w14:paraId="27594F0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</w:pPr>
      <w:bookmarkStart w:id="75" w:name="_Toc28147"/>
      <w:bookmarkStart w:id="76" w:name="_Toc5912"/>
      <w:bookmarkStart w:id="77" w:name="_Toc17883"/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  <w:t>关于202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县本级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  <w:t>政府性基金支出预算情况的说明</w:t>
      </w:r>
      <w:bookmarkEnd w:id="75"/>
      <w:bookmarkEnd w:id="76"/>
      <w:bookmarkEnd w:id="77"/>
    </w:p>
    <w:p w14:paraId="77EC3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/>
          <w:highlight w:val="none"/>
          <w:lang w:val="en-US" w:eastAsia="zh-Hans"/>
        </w:rPr>
      </w:pPr>
    </w:p>
    <w:p w14:paraId="786FF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年县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本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级政府性基金预算支出安排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132976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万元，具体情况是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：</w:t>
      </w:r>
    </w:p>
    <w:p w14:paraId="0511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国有土地使用权出让收入安排的支出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34610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6A2AE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城市基础设施配套费安排的支出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1000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7242B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污水处理费安排的支出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1458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39EB7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超长期特别国债安排的支出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25986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04FE4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彩票公益金安排的支出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2925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414B4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债券还本付息及发行费支出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30000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74541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其他政府性基金及对应专项债务收入安排的支出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30672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万元。</w:t>
      </w:r>
    </w:p>
    <w:p w14:paraId="0D30F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zh-CN"/>
        </w:rPr>
        <w:br w:type="page"/>
      </w:r>
    </w:p>
    <w:p w14:paraId="631C7FE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黑体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/>
          <w:sz w:val="32"/>
          <w:highlight w:val="none"/>
          <w:lang w:val="en-US" w:eastAsia="zh-CN"/>
        </w:rPr>
        <w:t>表</w:t>
      </w:r>
      <w:r>
        <w:rPr>
          <w:rFonts w:hint="eastAsia" w:eastAsia="黑体"/>
          <w:sz w:val="32"/>
          <w:highlight w:val="none"/>
          <w:lang w:val="en-US" w:eastAsia="zh-CN"/>
        </w:rPr>
        <w:t>十四</w:t>
      </w:r>
    </w:p>
    <w:p w14:paraId="32ED28F4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</w:pPr>
      <w:bookmarkStart w:id="78" w:name="_Toc26011"/>
      <w:bookmarkStart w:id="79" w:name="_Toc4616"/>
      <w:bookmarkStart w:id="80" w:name="_Toc27610"/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  <w:t>2026年县本级“三公”经费预算表（草案）</w:t>
      </w:r>
      <w:bookmarkEnd w:id="78"/>
      <w:bookmarkEnd w:id="79"/>
      <w:bookmarkEnd w:id="80"/>
    </w:p>
    <w:p w14:paraId="4975A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right"/>
        <w:textAlignment w:val="auto"/>
        <w:rPr>
          <w:rFonts w:hint="default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单位：万元</w:t>
      </w:r>
    </w:p>
    <w:tbl>
      <w:tblPr>
        <w:tblStyle w:val="1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6"/>
        <w:gridCol w:w="2665"/>
        <w:gridCol w:w="3669"/>
      </w:tblGrid>
      <w:tr w14:paraId="2FF7F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961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4F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203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EC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预算数</w:t>
            </w:r>
          </w:p>
        </w:tc>
      </w:tr>
      <w:tr w14:paraId="5323E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961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7E0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6D6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51B3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9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41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因公出国（境）费</w:t>
            </w:r>
          </w:p>
        </w:tc>
        <w:tc>
          <w:tcPr>
            <w:tcW w:w="2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3A6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CA31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CF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公务用车购置及运行费</w:t>
            </w: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C2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小计</w:t>
            </w:r>
          </w:p>
        </w:tc>
        <w:tc>
          <w:tcPr>
            <w:tcW w:w="2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55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</w:t>
            </w:r>
          </w:p>
        </w:tc>
      </w:tr>
      <w:tr w14:paraId="6CE1E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880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CD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公务用车购置费</w:t>
            </w:r>
          </w:p>
        </w:tc>
        <w:tc>
          <w:tcPr>
            <w:tcW w:w="2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559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60</w:t>
            </w:r>
          </w:p>
        </w:tc>
      </w:tr>
      <w:tr w14:paraId="7CF6A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455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7E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公务用车运行费</w:t>
            </w:r>
          </w:p>
        </w:tc>
        <w:tc>
          <w:tcPr>
            <w:tcW w:w="2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81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</w:t>
            </w:r>
          </w:p>
        </w:tc>
      </w:tr>
      <w:tr w14:paraId="612C5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9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04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2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2E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81</w:t>
            </w:r>
          </w:p>
        </w:tc>
      </w:tr>
      <w:tr w14:paraId="234EC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9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9E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2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EB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721</w:t>
            </w:r>
          </w:p>
        </w:tc>
      </w:tr>
    </w:tbl>
    <w:p w14:paraId="0662BF76">
      <w:pPr>
        <w:rPr>
          <w:rFonts w:hint="default" w:ascii="Times New Roman" w:hAnsi="Times New Roman" w:eastAsia="方正小标宋_GBK" w:cs="Times New Roman"/>
          <w:bCs/>
          <w:color w:val="00000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小标宋_GBK" w:cs="Times New Roman"/>
          <w:bCs/>
          <w:color w:val="000000"/>
          <w:sz w:val="32"/>
          <w:szCs w:val="32"/>
          <w:highlight w:val="none"/>
          <w:lang w:val="zh-CN"/>
        </w:rPr>
        <w:br w:type="page"/>
      </w:r>
    </w:p>
    <w:p w14:paraId="1745A72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</w:pPr>
      <w:bookmarkStart w:id="81" w:name="_Toc16057"/>
      <w:bookmarkStart w:id="82" w:name="_Toc32257"/>
      <w:bookmarkStart w:id="83" w:name="_Toc22593"/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  <w:t>关于202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县本级“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  <w:t>三公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  <w:t>经费支出预算情况的说明</w:t>
      </w:r>
      <w:bookmarkEnd w:id="81"/>
      <w:bookmarkEnd w:id="82"/>
      <w:bookmarkEnd w:id="83"/>
    </w:p>
    <w:p w14:paraId="59D7C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/>
          <w:highlight w:val="none"/>
          <w:lang w:val="en-US" w:eastAsia="zh-Hans"/>
        </w:rPr>
      </w:pPr>
    </w:p>
    <w:p w14:paraId="175A4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经汇总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，2026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年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本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级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三公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经费支出预算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721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万元，其中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公务用车运行维护费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80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万元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，公务接待费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81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公务用车购置费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60万元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。</w:t>
      </w:r>
    </w:p>
    <w:p w14:paraId="417D6D60">
      <w:pPr>
        <w:rPr>
          <w:rFonts w:hint="default" w:ascii="Times New Roman" w:hAnsi="Times New Roman" w:eastAsia="方正小标宋_GBK" w:cs="Times New Roman"/>
          <w:bCs/>
          <w:color w:val="00000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小标宋_GBK" w:cs="Times New Roman"/>
          <w:bCs/>
          <w:color w:val="000000"/>
          <w:sz w:val="32"/>
          <w:szCs w:val="32"/>
          <w:highlight w:val="none"/>
          <w:lang w:val="zh-CN"/>
        </w:rPr>
        <w:br w:type="page"/>
      </w:r>
    </w:p>
    <w:bookmarkEnd w:id="40"/>
    <w:p w14:paraId="32C10E1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黑体"/>
          <w:sz w:val="32"/>
          <w:highlight w:val="none"/>
          <w:lang w:val="en-US" w:eastAsia="zh-CN"/>
        </w:rPr>
      </w:pPr>
      <w:bookmarkStart w:id="84" w:name="_Toc277"/>
      <w:bookmarkStart w:id="85" w:name="_Toc30138"/>
      <w:r>
        <w:rPr>
          <w:rFonts w:hint="default" w:ascii="Times New Roman" w:hAnsi="Times New Roman" w:eastAsia="黑体"/>
          <w:sz w:val="32"/>
          <w:highlight w:val="none"/>
          <w:lang w:val="zh-CN" w:eastAsia="zh-CN"/>
        </w:rPr>
        <w:t>表</w:t>
      </w:r>
      <w:bookmarkEnd w:id="84"/>
      <w:bookmarkEnd w:id="85"/>
      <w:r>
        <w:rPr>
          <w:rFonts w:hint="eastAsia" w:eastAsia="黑体"/>
          <w:sz w:val="32"/>
          <w:highlight w:val="none"/>
          <w:lang w:val="en-US" w:eastAsia="zh-CN"/>
        </w:rPr>
        <w:t>十五</w:t>
      </w:r>
    </w:p>
    <w:p w14:paraId="318B3BF4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sz w:val="36"/>
          <w:highlight w:val="none"/>
          <w:lang w:val="zh-CN" w:eastAsia="zh-CN"/>
        </w:rPr>
      </w:pPr>
      <w:bookmarkStart w:id="86" w:name="_Toc5111"/>
      <w:bookmarkStart w:id="87" w:name="_Toc7281"/>
      <w:bookmarkStart w:id="88" w:name="_Toc10119"/>
      <w:bookmarkStart w:id="89" w:name="_Toc26818"/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zh-CN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zh-CN" w:eastAsia="zh-CN"/>
        </w:rPr>
        <w:t>年民权县社会保险基金预算收支表</w:t>
      </w:r>
      <w:bookmarkEnd w:id="86"/>
      <w:bookmarkEnd w:id="87"/>
      <w:bookmarkEnd w:id="88"/>
      <w:bookmarkEnd w:id="89"/>
    </w:p>
    <w:p w14:paraId="3128C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right"/>
        <w:textAlignment w:val="auto"/>
        <w:rPr>
          <w:rFonts w:hint="default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单位：万元</w:t>
      </w:r>
    </w:p>
    <w:tbl>
      <w:tblPr>
        <w:tblStyle w:val="14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6"/>
        <w:gridCol w:w="1516"/>
        <w:gridCol w:w="1516"/>
        <w:gridCol w:w="1516"/>
        <w:gridCol w:w="1636"/>
      </w:tblGrid>
      <w:tr w14:paraId="29457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2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7D1C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目</w:t>
            </w:r>
          </w:p>
        </w:tc>
        <w:tc>
          <w:tcPr>
            <w:tcW w:w="15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EC7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年初结转</w:t>
            </w:r>
          </w:p>
        </w:tc>
        <w:tc>
          <w:tcPr>
            <w:tcW w:w="15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2A12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年基金预算收入情况</w:t>
            </w:r>
          </w:p>
        </w:tc>
        <w:tc>
          <w:tcPr>
            <w:tcW w:w="15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46E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年基金预算支出情况</w:t>
            </w:r>
          </w:p>
        </w:tc>
        <w:tc>
          <w:tcPr>
            <w:tcW w:w="1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C17D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年末滚存结余</w:t>
            </w:r>
          </w:p>
        </w:tc>
      </w:tr>
      <w:tr w14:paraId="695C3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2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A4B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城乡居民社会养老保险基金</w:t>
            </w:r>
          </w:p>
        </w:tc>
        <w:tc>
          <w:tcPr>
            <w:tcW w:w="15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D3E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102,084</w:t>
            </w:r>
          </w:p>
        </w:tc>
        <w:tc>
          <w:tcPr>
            <w:tcW w:w="15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76AA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45,012</w:t>
            </w:r>
          </w:p>
        </w:tc>
        <w:tc>
          <w:tcPr>
            <w:tcW w:w="15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19E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33,786</w:t>
            </w:r>
          </w:p>
        </w:tc>
        <w:tc>
          <w:tcPr>
            <w:tcW w:w="1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CE84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113,310</w:t>
            </w:r>
          </w:p>
        </w:tc>
      </w:tr>
      <w:tr w14:paraId="6BBB7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8BC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合计</w:t>
            </w:r>
          </w:p>
        </w:tc>
        <w:tc>
          <w:tcPr>
            <w:tcW w:w="15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21C9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102,084</w:t>
            </w:r>
          </w:p>
        </w:tc>
        <w:tc>
          <w:tcPr>
            <w:tcW w:w="15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CB93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45,012</w:t>
            </w:r>
          </w:p>
        </w:tc>
        <w:tc>
          <w:tcPr>
            <w:tcW w:w="15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BDDD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33,786</w:t>
            </w:r>
          </w:p>
        </w:tc>
        <w:tc>
          <w:tcPr>
            <w:tcW w:w="1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9007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113,310</w:t>
            </w:r>
          </w:p>
        </w:tc>
      </w:tr>
    </w:tbl>
    <w:p w14:paraId="21D3C9AE">
      <w:pPr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br w:type="page"/>
      </w:r>
    </w:p>
    <w:p w14:paraId="316A444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zh-CN" w:eastAsia="zh-CN"/>
        </w:rPr>
      </w:pPr>
      <w:bookmarkStart w:id="90" w:name="_Toc11251"/>
      <w:bookmarkStart w:id="91" w:name="_Toc21132"/>
      <w:bookmarkStart w:id="92" w:name="_Toc20863"/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zh-CN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zh-CN" w:eastAsia="zh-CN"/>
        </w:rPr>
        <w:t>年民权县社会保险基金预算收支情况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zh-CN" w:eastAsia="zh-CN"/>
        </w:rPr>
        <w:t>说明</w:t>
      </w:r>
      <w:bookmarkEnd w:id="90"/>
      <w:bookmarkEnd w:id="91"/>
      <w:bookmarkEnd w:id="92"/>
    </w:p>
    <w:p w14:paraId="7DD37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/>
          <w:highlight w:val="none"/>
          <w:lang w:val="zh-CN" w:eastAsia="zh-CN"/>
        </w:rPr>
      </w:pPr>
    </w:p>
    <w:p w14:paraId="6F03B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年民权县社会保险基金收入预算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45012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万元，支出预算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33786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万元。</w:t>
      </w:r>
    </w:p>
    <w:p w14:paraId="3E602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黑体" w:hAnsi="黑体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highlight w:val="none"/>
          <w:lang w:val="en-US" w:eastAsia="zh-CN"/>
        </w:rPr>
        <w:t>一.2026年全县社保基金预算收入安排情况</w:t>
      </w:r>
    </w:p>
    <w:p w14:paraId="4D005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年民权县社会保险基金收入预算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45012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万元，主要项目执行情况是：城乡居民基本养老保险基金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45012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万元。</w:t>
      </w:r>
    </w:p>
    <w:p w14:paraId="2902A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黑体" w:hAnsi="黑体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highlight w:val="none"/>
          <w:lang w:val="en-US" w:eastAsia="zh-CN"/>
        </w:rPr>
        <w:t>二.2026年全县社保基金预算支出安排情况</w:t>
      </w:r>
    </w:p>
    <w:p w14:paraId="4B7B8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年民权县社会保险基金支出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33786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万元，主要项目执行情况是：城乡居民基本养老保险基金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33786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万元。</w:t>
      </w:r>
    </w:p>
    <w:p w14:paraId="66A3E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highlight w:val="none"/>
          <w:lang w:val="en-US" w:eastAsia="zh-CN"/>
        </w:rPr>
        <w:t>三.收支结余情况</w:t>
      </w:r>
    </w:p>
    <w:p w14:paraId="26F68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年全县社会保险基金收支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平衡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情况为年初结转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102084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万元，当年收入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45012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万元，当年支出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33786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万元，年末滚存结余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113310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万元。</w:t>
      </w:r>
    </w:p>
    <w:p w14:paraId="5BC314DB">
      <w:pPr>
        <w:rPr>
          <w:rFonts w:hint="default" w:eastAsia="黑体"/>
          <w:sz w:val="32"/>
          <w:highlight w:val="none"/>
          <w:lang w:val="en-US" w:eastAsia="zh-CN"/>
        </w:rPr>
      </w:pPr>
      <w:r>
        <w:rPr>
          <w:rFonts w:hint="default" w:eastAsia="黑体"/>
          <w:sz w:val="32"/>
          <w:highlight w:val="none"/>
          <w:lang w:val="en-US" w:eastAsia="zh-CN"/>
        </w:rPr>
        <w:br w:type="page"/>
      </w:r>
    </w:p>
    <w:p w14:paraId="346618F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黑体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/>
          <w:sz w:val="32"/>
          <w:highlight w:val="none"/>
          <w:lang w:val="en-US" w:eastAsia="zh-CN"/>
        </w:rPr>
        <w:t>表</w:t>
      </w:r>
      <w:r>
        <w:rPr>
          <w:rFonts w:hint="eastAsia" w:eastAsia="黑体"/>
          <w:sz w:val="32"/>
          <w:highlight w:val="none"/>
          <w:lang w:val="en-US" w:eastAsia="zh-CN"/>
        </w:rPr>
        <w:t>十六</w:t>
      </w:r>
    </w:p>
    <w:p w14:paraId="7287D264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</w:pPr>
      <w:bookmarkStart w:id="93" w:name="_Toc9001"/>
      <w:bookmarkStart w:id="94" w:name="_Toc27494"/>
      <w:bookmarkStart w:id="95" w:name="_Toc31729"/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  <w:t>2026年县本级国有资本经营收支预算表（草案）</w:t>
      </w:r>
      <w:bookmarkEnd w:id="93"/>
      <w:bookmarkEnd w:id="94"/>
      <w:bookmarkEnd w:id="95"/>
    </w:p>
    <w:p w14:paraId="1180F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单位：万元</w:t>
      </w:r>
    </w:p>
    <w:tbl>
      <w:tblPr>
        <w:tblStyle w:val="1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9"/>
        <w:gridCol w:w="1207"/>
        <w:gridCol w:w="2924"/>
        <w:gridCol w:w="1185"/>
        <w:gridCol w:w="699"/>
      </w:tblGrid>
      <w:tr w14:paraId="692A7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9F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6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0F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收入预算数</w:t>
            </w:r>
          </w:p>
        </w:tc>
        <w:tc>
          <w:tcPr>
            <w:tcW w:w="16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BB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65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B9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支出预算数</w:t>
            </w:r>
          </w:p>
        </w:tc>
        <w:tc>
          <w:tcPr>
            <w:tcW w:w="3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02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4D8BD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01C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245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5DE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16F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7FB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FE4B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F5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利润收入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F95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62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解决历史遗留问题及改革成本支出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DD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42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6D4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142C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0A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股利、股息收入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77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12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国有企业资本金注入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B70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474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8AD3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91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产权转让收入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0E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5C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其他国有资本经营预算收入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F4D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48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A69B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78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清算收入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28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FF6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336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F5A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DA38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11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其他国有资本经营预算收入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95D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86E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8A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560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8A6F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97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8DD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335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A1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B9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F167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65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本年收入合计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35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A2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本年支出合计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F3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8C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8F26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35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国有资本经营预算转移支付收入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83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68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国有资本经营预算转移支付支出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B1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084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0979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BC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国有资本经营预算上解收入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6D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B1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国有资本经营预算上解支出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F1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9F1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2A8C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96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国有资本经营预算上年结余收入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924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12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C2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国有资本经营预算调出资金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592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C73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061A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51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CAC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98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国有资本经营预算年终结余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02D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777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0336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8E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收入总计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E7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42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D6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支出总计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76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20A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6DE54180">
      <w:pPr>
        <w:pStyle w:val="2"/>
        <w:rPr>
          <w:rFonts w:hint="default"/>
          <w:highlight w:val="none"/>
          <w:lang w:val="en-US" w:eastAsia="zh-CN"/>
        </w:rPr>
      </w:pPr>
    </w:p>
    <w:p w14:paraId="5CBBE16B">
      <w:pPr>
        <w:rPr>
          <w:rFonts w:hint="default" w:ascii="Times New Roman" w:hAnsi="Times New Roman" w:eastAsia="方正小标宋_GBK" w:cs="Times New Roman"/>
          <w:bCs/>
          <w:color w:val="00000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小标宋_GBK" w:cs="Times New Roman"/>
          <w:bCs/>
          <w:color w:val="000000"/>
          <w:sz w:val="32"/>
          <w:szCs w:val="32"/>
          <w:highlight w:val="none"/>
          <w:lang w:val="zh-CN"/>
        </w:rPr>
        <w:br w:type="page"/>
      </w:r>
    </w:p>
    <w:p w14:paraId="24C1D27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</w:pPr>
      <w:bookmarkStart w:id="96" w:name="_Toc4005"/>
      <w:bookmarkStart w:id="97" w:name="_Toc9675"/>
      <w:bookmarkStart w:id="98" w:name="_Toc18286"/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  <w:t>关于202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县本级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Hans"/>
        </w:rPr>
        <w:t>国有资本经营收支预算情况的说明</w:t>
      </w:r>
      <w:bookmarkEnd w:id="96"/>
      <w:bookmarkEnd w:id="97"/>
      <w:bookmarkEnd w:id="98"/>
    </w:p>
    <w:p w14:paraId="5EF1E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/>
          <w:highlight w:val="none"/>
          <w:lang w:val="en-US" w:eastAsia="zh-Hans"/>
        </w:rPr>
      </w:pPr>
    </w:p>
    <w:p w14:paraId="1DE012E9">
      <w:pPr>
        <w:rPr>
          <w:rFonts w:hint="eastAsia" w:ascii="黑体" w:hAnsi="黑体" w:eastAsia="黑体" w:cs="黑体"/>
          <w:highlight w:val="none"/>
          <w:lang w:val="en-US" w:eastAsia="zh-Hans"/>
        </w:rPr>
      </w:pPr>
      <w:r>
        <w:rPr>
          <w:rFonts w:hint="eastAsia" w:ascii="黑体" w:hAnsi="黑体" w:eastAsia="黑体" w:cs="黑体"/>
          <w:highlight w:val="none"/>
          <w:lang w:val="en-US" w:eastAsia="zh-Hans"/>
        </w:rPr>
        <w:t>一</w:t>
      </w:r>
      <w:r>
        <w:rPr>
          <w:rFonts w:hint="eastAsia" w:ascii="黑体" w:hAnsi="黑体" w:eastAsia="黑体" w:cs="黑体"/>
          <w:highlight w:val="none"/>
          <w:lang w:val="en-US" w:eastAsia="zh-CN"/>
        </w:rPr>
        <w:t>.</w:t>
      </w:r>
      <w:r>
        <w:rPr>
          <w:rFonts w:hint="eastAsia" w:ascii="黑体" w:hAnsi="黑体" w:eastAsia="黑体" w:cs="黑体"/>
          <w:highlight w:val="none"/>
          <w:lang w:val="en-US" w:eastAsia="zh-Hans"/>
        </w:rPr>
        <w:t>收入预算情况</w:t>
      </w:r>
    </w:p>
    <w:p w14:paraId="36281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年，县本级国有资本经营预算收入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42万元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，其中：国有资本经营预算转移支付收入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30万元，国有资本经营预算上年结余收入12万元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。</w:t>
      </w:r>
    </w:p>
    <w:p w14:paraId="202E01C5">
      <w:pPr>
        <w:rPr>
          <w:rFonts w:hint="eastAsia" w:ascii="黑体" w:hAnsi="黑体" w:eastAsia="黑体" w:cs="黑体"/>
          <w:highlight w:val="none"/>
          <w:lang w:val="en-US" w:eastAsia="zh-Hans"/>
        </w:rPr>
      </w:pPr>
      <w:r>
        <w:rPr>
          <w:rFonts w:hint="eastAsia" w:ascii="黑体" w:hAnsi="黑体" w:eastAsia="黑体" w:cs="黑体"/>
          <w:highlight w:val="none"/>
          <w:lang w:val="en-US" w:eastAsia="zh-Hans"/>
        </w:rPr>
        <w:t>二</w:t>
      </w:r>
      <w:r>
        <w:rPr>
          <w:rFonts w:hint="eastAsia" w:ascii="黑体" w:hAnsi="黑体" w:eastAsia="黑体" w:cs="黑体"/>
          <w:highlight w:val="none"/>
          <w:lang w:val="en-US" w:eastAsia="zh-CN"/>
        </w:rPr>
        <w:t>.</w:t>
      </w:r>
      <w:r>
        <w:rPr>
          <w:rFonts w:hint="eastAsia" w:ascii="黑体" w:hAnsi="黑体" w:eastAsia="黑体" w:cs="黑体"/>
          <w:highlight w:val="none"/>
          <w:lang w:val="en-US" w:eastAsia="zh-Hans"/>
        </w:rPr>
        <w:t>支出预算情况</w:t>
      </w:r>
    </w:p>
    <w:p w14:paraId="38658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年，县本级国有资本经营预算总支出安排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42万元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，其中：解决历史遗留问题及改革成本支出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42万元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Hans"/>
        </w:rPr>
        <w:t>。</w:t>
      </w:r>
    </w:p>
    <w:p w14:paraId="67F3067B">
      <w:pP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Hans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Hans"/>
        </w:rPr>
        <w:br w:type="page"/>
      </w:r>
    </w:p>
    <w:bookmarkEnd w:id="2"/>
    <w:p w14:paraId="7650118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textAlignment w:val="auto"/>
        <w:rPr>
          <w:rFonts w:hint="default" w:eastAsia="黑体"/>
          <w:sz w:val="32"/>
          <w:highlight w:val="none"/>
          <w:lang w:val="en-US"/>
        </w:rPr>
      </w:pPr>
      <w:r>
        <w:rPr>
          <w:rFonts w:hint="default" w:eastAsia="黑体"/>
          <w:sz w:val="32"/>
          <w:highlight w:val="none"/>
          <w:lang w:val="en-US" w:eastAsia="zh-CN"/>
        </w:rPr>
        <w:t>表十</w:t>
      </w:r>
      <w:r>
        <w:rPr>
          <w:rFonts w:hint="eastAsia" w:eastAsia="黑体"/>
          <w:sz w:val="32"/>
          <w:highlight w:val="none"/>
          <w:lang w:val="en-US" w:eastAsia="zh-CN"/>
        </w:rPr>
        <w:t>七</w:t>
      </w:r>
    </w:p>
    <w:p w14:paraId="05ABAB7E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</w:pPr>
      <w:bookmarkStart w:id="99" w:name="_Toc30538"/>
      <w:bookmarkStart w:id="100" w:name="_Toc27582"/>
      <w:bookmarkStart w:id="101" w:name="_Toc4015"/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  <w:t>2025年和2026年政府一般债务限额余额情况表</w:t>
      </w:r>
      <w:bookmarkEnd w:id="99"/>
      <w:bookmarkEnd w:id="100"/>
      <w:bookmarkEnd w:id="101"/>
    </w:p>
    <w:tbl>
      <w:tblPr>
        <w:tblStyle w:val="1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7"/>
        <w:gridCol w:w="1614"/>
        <w:gridCol w:w="1623"/>
      </w:tblGrid>
      <w:tr w14:paraId="08DDA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AE1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单位：万元</w:t>
            </w:r>
          </w:p>
        </w:tc>
      </w:tr>
      <w:tr w14:paraId="59332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A0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AC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预算数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5A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执行数</w:t>
            </w:r>
          </w:p>
        </w:tc>
      </w:tr>
      <w:tr w14:paraId="2F2DF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EEBD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8479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民权县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E1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民权县</w:t>
            </w:r>
          </w:p>
        </w:tc>
      </w:tr>
      <w:tr w14:paraId="2FD89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D6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2025年末政府一般债务限额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7F6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2B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173735</w:t>
            </w:r>
          </w:p>
        </w:tc>
      </w:tr>
      <w:tr w14:paraId="65D98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97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2025年政府一般债券发行额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152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0A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7440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8D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2025年政府一般债券还本额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49F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65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4051</w:t>
            </w:r>
          </w:p>
        </w:tc>
      </w:tr>
      <w:tr w14:paraId="0D787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81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2025年政府一般债务余额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B9E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B1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168985</w:t>
            </w:r>
          </w:p>
        </w:tc>
      </w:tr>
      <w:tr w14:paraId="12382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B4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2026年政府一般债务新增限额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40B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441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6EA31111">
      <w:pPr>
        <w:bidi w:val="0"/>
        <w:ind w:left="0" w:leftChars="0" w:firstLine="0" w:firstLineChars="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备注：202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年政府一般债券还本额不含再融资债券。</w:t>
      </w:r>
    </w:p>
    <w:p w14:paraId="0C41B82C">
      <w:pPr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br w:type="page"/>
      </w:r>
    </w:p>
    <w:p w14:paraId="6B23176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bookmarkStart w:id="102" w:name="_Toc14628"/>
      <w:bookmarkStart w:id="103" w:name="_Toc7379"/>
      <w:bookmarkStart w:id="104" w:name="_Toc6219"/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关于一般债务限额余额情况的说明</w:t>
      </w:r>
      <w:bookmarkEnd w:id="102"/>
      <w:bookmarkEnd w:id="103"/>
      <w:bookmarkEnd w:id="104"/>
    </w:p>
    <w:p w14:paraId="53E2D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/>
          <w:highlight w:val="none"/>
          <w:lang w:val="en-US" w:eastAsia="zh-CN"/>
        </w:rPr>
      </w:pPr>
    </w:p>
    <w:p w14:paraId="0BA14160">
      <w:p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2025年末县级政府一般债务限额17.37亿元，2025年末县级政府一般债务余额16.7亿元。</w:t>
      </w:r>
    </w:p>
    <w:p w14:paraId="3D57EBFA">
      <w:p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2025年末县级政府一般债务余额低于省核定的政府债务限额。</w:t>
      </w:r>
    </w:p>
    <w:p w14:paraId="76669F8F">
      <w:pP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br w:type="page"/>
      </w:r>
    </w:p>
    <w:p w14:paraId="0171FC1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黑体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/>
          <w:sz w:val="32"/>
          <w:highlight w:val="none"/>
          <w:lang w:val="en-US" w:eastAsia="zh-CN"/>
        </w:rPr>
        <w:t>表十</w:t>
      </w:r>
      <w:r>
        <w:rPr>
          <w:rFonts w:hint="eastAsia" w:eastAsia="黑体"/>
          <w:sz w:val="32"/>
          <w:highlight w:val="none"/>
          <w:lang w:val="en-US" w:eastAsia="zh-CN"/>
        </w:rPr>
        <w:t>八</w:t>
      </w:r>
    </w:p>
    <w:p w14:paraId="7987DD40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</w:pPr>
      <w:bookmarkStart w:id="105" w:name="_Toc28223"/>
      <w:bookmarkStart w:id="106" w:name="_Toc2006"/>
      <w:bookmarkStart w:id="107" w:name="_Toc1844"/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  <w:t>2025年和2026年政府专项债务限额余额情况表</w:t>
      </w:r>
      <w:bookmarkEnd w:id="105"/>
      <w:bookmarkEnd w:id="106"/>
      <w:bookmarkEnd w:id="107"/>
    </w:p>
    <w:tbl>
      <w:tblPr>
        <w:tblStyle w:val="1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7"/>
        <w:gridCol w:w="1614"/>
        <w:gridCol w:w="1623"/>
      </w:tblGrid>
      <w:tr w14:paraId="793B5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251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单位：万元</w:t>
            </w:r>
          </w:p>
        </w:tc>
      </w:tr>
      <w:tr w14:paraId="15D68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7B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C2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预算数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2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执行数</w:t>
            </w:r>
          </w:p>
        </w:tc>
      </w:tr>
      <w:tr w14:paraId="57AF7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D1F8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0C4D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民权县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B1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民权县</w:t>
            </w:r>
          </w:p>
        </w:tc>
      </w:tr>
      <w:tr w14:paraId="5AA4A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31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2025年末政府专项债务限额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333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EA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962500</w:t>
            </w:r>
          </w:p>
        </w:tc>
      </w:tr>
      <w:tr w14:paraId="4398E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89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2025年政府专项债券发行额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F52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B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89200</w:t>
            </w:r>
          </w:p>
        </w:tc>
      </w:tr>
      <w:tr w14:paraId="7F914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8A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2025年政府专项债券还本额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085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F5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6680</w:t>
            </w:r>
          </w:p>
        </w:tc>
      </w:tr>
      <w:tr w14:paraId="72E00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D9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2025年政府专项债务余额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DB6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B3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950980</w:t>
            </w:r>
          </w:p>
        </w:tc>
      </w:tr>
      <w:tr w14:paraId="18E75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2C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2026年政府专项债务新增限额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052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9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786862F2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" w:hAnsi="仿宋" w:eastAsia="仿宋" w:cs="仿宋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default" w:ascii="仿宋" w:hAnsi="仿宋" w:eastAsia="仿宋" w:cs="仿宋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备注：202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5</w:t>
      </w:r>
      <w:r>
        <w:rPr>
          <w:rFonts w:hint="default" w:ascii="仿宋" w:hAnsi="仿宋" w:eastAsia="仿宋" w:cs="仿宋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年政府专项债券还本额不含再融资债券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。</w:t>
      </w:r>
      <w:bookmarkStart w:id="117" w:name="_GoBack"/>
      <w:bookmarkEnd w:id="117"/>
    </w:p>
    <w:p w14:paraId="572B1EAD">
      <w:pP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br w:type="page"/>
      </w:r>
    </w:p>
    <w:p w14:paraId="6ED57CD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bookmarkStart w:id="108" w:name="_Toc32291"/>
      <w:bookmarkStart w:id="109" w:name="_Toc8556"/>
      <w:bookmarkStart w:id="110" w:name="_Toc12671"/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关于专项债务限额余额情况的说明</w:t>
      </w:r>
      <w:bookmarkEnd w:id="108"/>
      <w:bookmarkEnd w:id="109"/>
      <w:bookmarkEnd w:id="110"/>
    </w:p>
    <w:p w14:paraId="6E64A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/>
          <w:highlight w:val="none"/>
          <w:lang w:val="en-US" w:eastAsia="zh-CN"/>
        </w:rPr>
      </w:pPr>
    </w:p>
    <w:p w14:paraId="14069776">
      <w:p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2025年末县级政府专项债务限额96.25亿元，2025年末县级政府专项债务余额95.1亿元。</w:t>
      </w:r>
    </w:p>
    <w:p w14:paraId="124DBA73">
      <w:p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2025年末县级政府专项债务余额低于省核定的政府债务限额。</w:t>
      </w:r>
    </w:p>
    <w:p w14:paraId="73F19273">
      <w:pP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br w:type="page"/>
      </w:r>
    </w:p>
    <w:p w14:paraId="5EB4D1F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黑体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/>
          <w:sz w:val="32"/>
          <w:highlight w:val="none"/>
          <w:lang w:val="en-US" w:eastAsia="zh-CN"/>
        </w:rPr>
        <w:t>表十</w:t>
      </w:r>
      <w:r>
        <w:rPr>
          <w:rFonts w:hint="eastAsia" w:eastAsia="黑体"/>
          <w:sz w:val="32"/>
          <w:highlight w:val="none"/>
          <w:lang w:val="en-US" w:eastAsia="zh-CN"/>
        </w:rPr>
        <w:t>九</w:t>
      </w:r>
    </w:p>
    <w:p w14:paraId="40069098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</w:pPr>
      <w:bookmarkStart w:id="111" w:name="_Toc10830"/>
      <w:bookmarkStart w:id="112" w:name="_Toc2293"/>
      <w:bookmarkStart w:id="113" w:name="_Toc20092"/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  <w:t>2026年民权县新增政府一般债券安排项目情况表</w:t>
      </w:r>
      <w:bookmarkEnd w:id="111"/>
      <w:bookmarkEnd w:id="112"/>
      <w:bookmarkEnd w:id="113"/>
    </w:p>
    <w:p w14:paraId="7D7C6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right"/>
        <w:textAlignment w:val="auto"/>
        <w:rPr>
          <w:rFonts w:hint="default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单位：万元</w:t>
      </w:r>
    </w:p>
    <w:tbl>
      <w:tblPr>
        <w:tblStyle w:val="1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987"/>
        <w:gridCol w:w="7030"/>
      </w:tblGrid>
      <w:tr w14:paraId="3F2A7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8C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3E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金额</w:t>
            </w:r>
          </w:p>
        </w:tc>
        <w:tc>
          <w:tcPr>
            <w:tcW w:w="3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C0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项目说明</w:t>
            </w:r>
          </w:p>
        </w:tc>
      </w:tr>
      <w:tr w14:paraId="1DB20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27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82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EC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截至目前，民权县2026年新增一般债券额度为0</w:t>
            </w:r>
          </w:p>
        </w:tc>
      </w:tr>
    </w:tbl>
    <w:p w14:paraId="57F2D5D9">
      <w:pP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br w:type="page"/>
      </w:r>
    </w:p>
    <w:p w14:paraId="05C6F7C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黑体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/>
          <w:sz w:val="32"/>
          <w:highlight w:val="none"/>
          <w:lang w:val="en-US" w:eastAsia="zh-CN"/>
        </w:rPr>
        <w:t>表</w:t>
      </w:r>
      <w:r>
        <w:rPr>
          <w:rFonts w:hint="eastAsia" w:eastAsia="黑体"/>
          <w:sz w:val="32"/>
          <w:highlight w:val="none"/>
          <w:lang w:val="en-US" w:eastAsia="zh-CN"/>
        </w:rPr>
        <w:t>二十</w:t>
      </w:r>
    </w:p>
    <w:p w14:paraId="35614743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</w:pPr>
      <w:bookmarkStart w:id="114" w:name="_Toc11928"/>
      <w:bookmarkStart w:id="115" w:name="_Toc22537"/>
      <w:bookmarkStart w:id="116" w:name="_Toc6489"/>
      <w:r>
        <w:rPr>
          <w:rFonts w:hint="eastAsia" w:ascii="方正小标宋简体" w:hAnsi="方正小标宋简体" w:eastAsia="方正小标宋简体" w:cs="方正小标宋简体"/>
          <w:sz w:val="36"/>
          <w:highlight w:val="none"/>
          <w:lang w:val="en-US" w:eastAsia="zh-CN"/>
        </w:rPr>
        <w:t>2026年民权县新增政府专项债券安排项目情况表</w:t>
      </w:r>
      <w:bookmarkEnd w:id="114"/>
      <w:bookmarkEnd w:id="115"/>
      <w:bookmarkEnd w:id="116"/>
    </w:p>
    <w:p w14:paraId="115EC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jc w:val="right"/>
        <w:textAlignment w:val="auto"/>
        <w:rPr>
          <w:rFonts w:hint="default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单位：万元</w:t>
      </w:r>
    </w:p>
    <w:tbl>
      <w:tblPr>
        <w:tblStyle w:val="1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987"/>
        <w:gridCol w:w="7030"/>
      </w:tblGrid>
      <w:tr w14:paraId="3A567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AF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46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金额</w:t>
            </w:r>
          </w:p>
        </w:tc>
        <w:tc>
          <w:tcPr>
            <w:tcW w:w="3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2C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项目说明</w:t>
            </w:r>
          </w:p>
        </w:tc>
      </w:tr>
      <w:tr w14:paraId="67D40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BC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3D7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C6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截至目前，民权县2026年新增专项债券额度为0</w:t>
            </w:r>
          </w:p>
        </w:tc>
      </w:tr>
    </w:tbl>
    <w:p w14:paraId="5718001D">
      <w:pPr>
        <w:bidi w:val="0"/>
        <w:rPr>
          <w:rFonts w:hint="eastAsia"/>
          <w:highlight w:val="none"/>
        </w:rPr>
      </w:pPr>
    </w:p>
    <w:sectPr>
      <w:footerReference r:id="rId7" w:type="default"/>
      <w:pgSz w:w="11906" w:h="16838"/>
      <w:pgMar w:top="1417" w:right="1417" w:bottom="1701" w:left="1701" w:header="851" w:footer="992" w:gutter="0"/>
      <w:pgNumType w:fmt="decimal" w:start="1"/>
      <w:cols w:space="0" w:num="1"/>
      <w:rtlGutter w:val="0"/>
      <w:docGrid w:linePitch="44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004578-E575-40D1-8631-88105C782D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F8822C6-34C5-4C88-ADDD-667742F0C4DC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FFD01D91-E362-4778-BF1D-2EBD234C70E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9A0DB64-F81D-4464-A691-7BB23C0C99EF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2BA8A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F8CE3B">
    <w:pPr>
      <w:pStyle w:val="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745B8">
    <w:pPr>
      <w:pStyle w:val="9"/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2AB3D">
                          <w:pPr>
                            <w:pStyle w:val="9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 w:val="0"/>
                            <w:snapToGrid w:val="0"/>
                            <w:ind w:left="320" w:leftChars="100" w:right="320" w:rightChars="100" w:firstLine="0" w:firstLineChars="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2AB3D">
                    <w:pPr>
                      <w:pStyle w:val="9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 w:val="0"/>
                      <w:snapToGrid w:val="0"/>
                      <w:ind w:left="320" w:leftChars="100" w:right="320" w:rightChars="100" w:firstLine="0" w:firstLineChars="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wYTM2ODQyNTM1MjQxNjkxMzg4YjViMmRkNzNmN2QifQ=="/>
  </w:docVars>
  <w:rsids>
    <w:rsidRoot w:val="00000000"/>
    <w:rsid w:val="00861DAB"/>
    <w:rsid w:val="0104014C"/>
    <w:rsid w:val="01161381"/>
    <w:rsid w:val="01596A01"/>
    <w:rsid w:val="019F1377"/>
    <w:rsid w:val="01B14C06"/>
    <w:rsid w:val="026305F6"/>
    <w:rsid w:val="02EE6A60"/>
    <w:rsid w:val="03D2010B"/>
    <w:rsid w:val="04115E30"/>
    <w:rsid w:val="04575F38"/>
    <w:rsid w:val="049E4932"/>
    <w:rsid w:val="05852631"/>
    <w:rsid w:val="06060D7C"/>
    <w:rsid w:val="063D4CBA"/>
    <w:rsid w:val="064A4674"/>
    <w:rsid w:val="06A116ED"/>
    <w:rsid w:val="06B95A9E"/>
    <w:rsid w:val="06CB49BC"/>
    <w:rsid w:val="073A38EF"/>
    <w:rsid w:val="07D26ED3"/>
    <w:rsid w:val="081C2944"/>
    <w:rsid w:val="083E2F6B"/>
    <w:rsid w:val="08BA0844"/>
    <w:rsid w:val="08FC1960"/>
    <w:rsid w:val="09727371"/>
    <w:rsid w:val="098E4B07"/>
    <w:rsid w:val="09C8001E"/>
    <w:rsid w:val="0A081A83"/>
    <w:rsid w:val="0A0F24C2"/>
    <w:rsid w:val="0A377A8F"/>
    <w:rsid w:val="0A6F565E"/>
    <w:rsid w:val="0A966D15"/>
    <w:rsid w:val="0AAF6107"/>
    <w:rsid w:val="0ABD286D"/>
    <w:rsid w:val="0B282BC9"/>
    <w:rsid w:val="0B462863"/>
    <w:rsid w:val="0BF95B27"/>
    <w:rsid w:val="0C4931E2"/>
    <w:rsid w:val="0C6A4CBF"/>
    <w:rsid w:val="0CB26C69"/>
    <w:rsid w:val="0CB42E89"/>
    <w:rsid w:val="0CF2459F"/>
    <w:rsid w:val="0D3B5CCB"/>
    <w:rsid w:val="0ED12D49"/>
    <w:rsid w:val="0F203DE2"/>
    <w:rsid w:val="103F5AD3"/>
    <w:rsid w:val="10D66437"/>
    <w:rsid w:val="11270A41"/>
    <w:rsid w:val="11363341"/>
    <w:rsid w:val="118539B9"/>
    <w:rsid w:val="11CC15E8"/>
    <w:rsid w:val="120E3ACB"/>
    <w:rsid w:val="12E60488"/>
    <w:rsid w:val="135F622E"/>
    <w:rsid w:val="137E13A7"/>
    <w:rsid w:val="138F0B1F"/>
    <w:rsid w:val="13960100"/>
    <w:rsid w:val="13ED1C51"/>
    <w:rsid w:val="141C309F"/>
    <w:rsid w:val="14406486"/>
    <w:rsid w:val="159502B1"/>
    <w:rsid w:val="160645BC"/>
    <w:rsid w:val="16104199"/>
    <w:rsid w:val="168D68FF"/>
    <w:rsid w:val="16946B78"/>
    <w:rsid w:val="171E4694"/>
    <w:rsid w:val="174A482E"/>
    <w:rsid w:val="175B1444"/>
    <w:rsid w:val="17C76AD9"/>
    <w:rsid w:val="1831626F"/>
    <w:rsid w:val="18925339"/>
    <w:rsid w:val="18DD6C95"/>
    <w:rsid w:val="1A327665"/>
    <w:rsid w:val="1A394CFA"/>
    <w:rsid w:val="1A3F329F"/>
    <w:rsid w:val="1A710F7F"/>
    <w:rsid w:val="1AE94B00"/>
    <w:rsid w:val="1B46065D"/>
    <w:rsid w:val="1B884DA9"/>
    <w:rsid w:val="1BA12E21"/>
    <w:rsid w:val="1BB43819"/>
    <w:rsid w:val="1BBF7DF4"/>
    <w:rsid w:val="1CBD66FD"/>
    <w:rsid w:val="1D5D13BA"/>
    <w:rsid w:val="1DEB1048"/>
    <w:rsid w:val="1DEF40CD"/>
    <w:rsid w:val="1E646F30"/>
    <w:rsid w:val="1EA02D82"/>
    <w:rsid w:val="1F2D5202"/>
    <w:rsid w:val="1FB61832"/>
    <w:rsid w:val="1FCC389C"/>
    <w:rsid w:val="2046410E"/>
    <w:rsid w:val="209F1E1F"/>
    <w:rsid w:val="20FE7719"/>
    <w:rsid w:val="215F1A81"/>
    <w:rsid w:val="21BE646B"/>
    <w:rsid w:val="21E960C4"/>
    <w:rsid w:val="228F5C8B"/>
    <w:rsid w:val="239B4777"/>
    <w:rsid w:val="239C3D41"/>
    <w:rsid w:val="23A549BD"/>
    <w:rsid w:val="23B551AC"/>
    <w:rsid w:val="244525AC"/>
    <w:rsid w:val="24637B8A"/>
    <w:rsid w:val="24A25583"/>
    <w:rsid w:val="24CE594B"/>
    <w:rsid w:val="24DE36B4"/>
    <w:rsid w:val="24E405AA"/>
    <w:rsid w:val="24F02348"/>
    <w:rsid w:val="25A64F0D"/>
    <w:rsid w:val="25D0124F"/>
    <w:rsid w:val="25DD09CB"/>
    <w:rsid w:val="25E90563"/>
    <w:rsid w:val="26143832"/>
    <w:rsid w:val="26DB434F"/>
    <w:rsid w:val="27234DBA"/>
    <w:rsid w:val="27906EE8"/>
    <w:rsid w:val="28B74948"/>
    <w:rsid w:val="28B9143A"/>
    <w:rsid w:val="29AE7AF9"/>
    <w:rsid w:val="2A3A75DF"/>
    <w:rsid w:val="2A7D74CC"/>
    <w:rsid w:val="2AA724FF"/>
    <w:rsid w:val="2AA9424E"/>
    <w:rsid w:val="2AB63109"/>
    <w:rsid w:val="2B6F2DD8"/>
    <w:rsid w:val="2BD001FB"/>
    <w:rsid w:val="2C365A9F"/>
    <w:rsid w:val="2C8A1B9F"/>
    <w:rsid w:val="2CA451E4"/>
    <w:rsid w:val="2D451CDB"/>
    <w:rsid w:val="2D6205F2"/>
    <w:rsid w:val="2DDD09AD"/>
    <w:rsid w:val="2DE659CB"/>
    <w:rsid w:val="2E0526C3"/>
    <w:rsid w:val="2E853142"/>
    <w:rsid w:val="2E8928E3"/>
    <w:rsid w:val="2EBA1F7D"/>
    <w:rsid w:val="2F4D4F30"/>
    <w:rsid w:val="2FD8138D"/>
    <w:rsid w:val="2FFD6535"/>
    <w:rsid w:val="30070D57"/>
    <w:rsid w:val="314123DF"/>
    <w:rsid w:val="31B639EF"/>
    <w:rsid w:val="323675CF"/>
    <w:rsid w:val="324E1E79"/>
    <w:rsid w:val="325A4A53"/>
    <w:rsid w:val="330B7D6A"/>
    <w:rsid w:val="338B2C59"/>
    <w:rsid w:val="338F274A"/>
    <w:rsid w:val="340812D9"/>
    <w:rsid w:val="346D235F"/>
    <w:rsid w:val="34D641F9"/>
    <w:rsid w:val="34DE4EC9"/>
    <w:rsid w:val="35167CA0"/>
    <w:rsid w:val="3546508A"/>
    <w:rsid w:val="368D5FB1"/>
    <w:rsid w:val="36FB00F6"/>
    <w:rsid w:val="371C3F54"/>
    <w:rsid w:val="373C05FA"/>
    <w:rsid w:val="374D6BA3"/>
    <w:rsid w:val="37D746BF"/>
    <w:rsid w:val="38D86F23"/>
    <w:rsid w:val="39363667"/>
    <w:rsid w:val="39456DFE"/>
    <w:rsid w:val="395A55A8"/>
    <w:rsid w:val="3A8A5A19"/>
    <w:rsid w:val="3ACE7FFB"/>
    <w:rsid w:val="3B163750"/>
    <w:rsid w:val="3BD038FF"/>
    <w:rsid w:val="3C5203FE"/>
    <w:rsid w:val="3CE43A2A"/>
    <w:rsid w:val="3D314871"/>
    <w:rsid w:val="3DAA0180"/>
    <w:rsid w:val="3DDC2A2F"/>
    <w:rsid w:val="3E54787D"/>
    <w:rsid w:val="3E8F1C1A"/>
    <w:rsid w:val="3F23643C"/>
    <w:rsid w:val="3F620D12"/>
    <w:rsid w:val="3FB13A48"/>
    <w:rsid w:val="41061B71"/>
    <w:rsid w:val="41A5698F"/>
    <w:rsid w:val="41DF2AEE"/>
    <w:rsid w:val="41E950EC"/>
    <w:rsid w:val="420933DF"/>
    <w:rsid w:val="420C765B"/>
    <w:rsid w:val="427E3D8C"/>
    <w:rsid w:val="42D8301D"/>
    <w:rsid w:val="431C4BDF"/>
    <w:rsid w:val="433E1A96"/>
    <w:rsid w:val="434626F9"/>
    <w:rsid w:val="43A06876"/>
    <w:rsid w:val="43DC065A"/>
    <w:rsid w:val="44835684"/>
    <w:rsid w:val="45325814"/>
    <w:rsid w:val="453A2F37"/>
    <w:rsid w:val="4577128F"/>
    <w:rsid w:val="45C60D19"/>
    <w:rsid w:val="45E05087"/>
    <w:rsid w:val="45E70807"/>
    <w:rsid w:val="46511AE0"/>
    <w:rsid w:val="467852BF"/>
    <w:rsid w:val="47811F51"/>
    <w:rsid w:val="4787298C"/>
    <w:rsid w:val="47CF0C06"/>
    <w:rsid w:val="47DC523D"/>
    <w:rsid w:val="4803505C"/>
    <w:rsid w:val="480F755D"/>
    <w:rsid w:val="48102B0B"/>
    <w:rsid w:val="481B23A6"/>
    <w:rsid w:val="48515DC8"/>
    <w:rsid w:val="490C2D8F"/>
    <w:rsid w:val="49224F88"/>
    <w:rsid w:val="49FF1BAB"/>
    <w:rsid w:val="4A8C16D4"/>
    <w:rsid w:val="4ABC71E1"/>
    <w:rsid w:val="4B1C435F"/>
    <w:rsid w:val="4B2C6678"/>
    <w:rsid w:val="4B5A6F67"/>
    <w:rsid w:val="4BE7296C"/>
    <w:rsid w:val="4C3C1E55"/>
    <w:rsid w:val="4C72630D"/>
    <w:rsid w:val="4CA961D2"/>
    <w:rsid w:val="4D360678"/>
    <w:rsid w:val="4D527BBA"/>
    <w:rsid w:val="4D713D23"/>
    <w:rsid w:val="4D904AD5"/>
    <w:rsid w:val="4E832A53"/>
    <w:rsid w:val="4EA50C9D"/>
    <w:rsid w:val="4EB15F67"/>
    <w:rsid w:val="4EC5306C"/>
    <w:rsid w:val="4F1B6AEC"/>
    <w:rsid w:val="4F4C44AB"/>
    <w:rsid w:val="4F840831"/>
    <w:rsid w:val="50804562"/>
    <w:rsid w:val="51AC0513"/>
    <w:rsid w:val="51DA6E2E"/>
    <w:rsid w:val="51ED6B61"/>
    <w:rsid w:val="51EE7DF5"/>
    <w:rsid w:val="521450B8"/>
    <w:rsid w:val="52197F39"/>
    <w:rsid w:val="52A66D10"/>
    <w:rsid w:val="52A8752F"/>
    <w:rsid w:val="52F45CCD"/>
    <w:rsid w:val="53312004"/>
    <w:rsid w:val="53681C0A"/>
    <w:rsid w:val="53ED200A"/>
    <w:rsid w:val="551E34D6"/>
    <w:rsid w:val="551E60CE"/>
    <w:rsid w:val="553815D8"/>
    <w:rsid w:val="55DD6EED"/>
    <w:rsid w:val="570010E5"/>
    <w:rsid w:val="57122BC6"/>
    <w:rsid w:val="57B343A9"/>
    <w:rsid w:val="593B4656"/>
    <w:rsid w:val="598A550B"/>
    <w:rsid w:val="59F64A21"/>
    <w:rsid w:val="59F91E1B"/>
    <w:rsid w:val="5A14577C"/>
    <w:rsid w:val="5A1F0ECF"/>
    <w:rsid w:val="5A69401D"/>
    <w:rsid w:val="5A7476F4"/>
    <w:rsid w:val="5AD52815"/>
    <w:rsid w:val="5B2E572C"/>
    <w:rsid w:val="5B37709F"/>
    <w:rsid w:val="5B882678"/>
    <w:rsid w:val="5CA70254"/>
    <w:rsid w:val="5D381BD3"/>
    <w:rsid w:val="5D6067A4"/>
    <w:rsid w:val="5D716BFF"/>
    <w:rsid w:val="5DCB5492"/>
    <w:rsid w:val="5E6B02F9"/>
    <w:rsid w:val="5E861AB1"/>
    <w:rsid w:val="5FDC1FC3"/>
    <w:rsid w:val="605424A1"/>
    <w:rsid w:val="606D2342"/>
    <w:rsid w:val="608C1C3B"/>
    <w:rsid w:val="608F5114"/>
    <w:rsid w:val="60A65589"/>
    <w:rsid w:val="60D31618"/>
    <w:rsid w:val="611D0AE5"/>
    <w:rsid w:val="619D1907"/>
    <w:rsid w:val="62015D11"/>
    <w:rsid w:val="623E0D13"/>
    <w:rsid w:val="62634892"/>
    <w:rsid w:val="62886432"/>
    <w:rsid w:val="62945B9F"/>
    <w:rsid w:val="62A96AD4"/>
    <w:rsid w:val="630755A9"/>
    <w:rsid w:val="6333360B"/>
    <w:rsid w:val="63E31B72"/>
    <w:rsid w:val="64B96D77"/>
    <w:rsid w:val="65552BBB"/>
    <w:rsid w:val="65AB14C7"/>
    <w:rsid w:val="65C9123C"/>
    <w:rsid w:val="660E238F"/>
    <w:rsid w:val="66DB2FD4"/>
    <w:rsid w:val="670C43FB"/>
    <w:rsid w:val="670F0ED0"/>
    <w:rsid w:val="674A63AC"/>
    <w:rsid w:val="68394457"/>
    <w:rsid w:val="68921DB9"/>
    <w:rsid w:val="68DA5FDC"/>
    <w:rsid w:val="694F1008"/>
    <w:rsid w:val="69C021CB"/>
    <w:rsid w:val="69D63F27"/>
    <w:rsid w:val="6A333127"/>
    <w:rsid w:val="6A5C442C"/>
    <w:rsid w:val="6A7379C8"/>
    <w:rsid w:val="6AA162E3"/>
    <w:rsid w:val="6AC63F9C"/>
    <w:rsid w:val="6AD52A86"/>
    <w:rsid w:val="6AF466B2"/>
    <w:rsid w:val="6B3F64AA"/>
    <w:rsid w:val="6B5A3EF0"/>
    <w:rsid w:val="6B7E2E37"/>
    <w:rsid w:val="6BAC0DBF"/>
    <w:rsid w:val="6BC04E8F"/>
    <w:rsid w:val="6BDD7B3D"/>
    <w:rsid w:val="6C135943"/>
    <w:rsid w:val="6C64581A"/>
    <w:rsid w:val="6C6B19EB"/>
    <w:rsid w:val="6CFE7A1D"/>
    <w:rsid w:val="6D1E0870"/>
    <w:rsid w:val="6D284A9A"/>
    <w:rsid w:val="6D730D11"/>
    <w:rsid w:val="6DA560EA"/>
    <w:rsid w:val="6E3336F6"/>
    <w:rsid w:val="6E7B3D0F"/>
    <w:rsid w:val="6EC33AA9"/>
    <w:rsid w:val="6ED547AD"/>
    <w:rsid w:val="6F3F0042"/>
    <w:rsid w:val="707A1AB0"/>
    <w:rsid w:val="708B37AD"/>
    <w:rsid w:val="715A4C86"/>
    <w:rsid w:val="716167CC"/>
    <w:rsid w:val="71946BA2"/>
    <w:rsid w:val="726447C6"/>
    <w:rsid w:val="72DD1E82"/>
    <w:rsid w:val="72F13B80"/>
    <w:rsid w:val="72F84F0E"/>
    <w:rsid w:val="732E6B82"/>
    <w:rsid w:val="738D1AFA"/>
    <w:rsid w:val="739B644A"/>
    <w:rsid w:val="74455F31"/>
    <w:rsid w:val="744D6473"/>
    <w:rsid w:val="74A52E74"/>
    <w:rsid w:val="74EB6AD9"/>
    <w:rsid w:val="75422471"/>
    <w:rsid w:val="75AF5D58"/>
    <w:rsid w:val="7625426C"/>
    <w:rsid w:val="76AD13B9"/>
    <w:rsid w:val="76D8308D"/>
    <w:rsid w:val="776963DA"/>
    <w:rsid w:val="779C67B0"/>
    <w:rsid w:val="77D51EEF"/>
    <w:rsid w:val="77D93560"/>
    <w:rsid w:val="781E71C5"/>
    <w:rsid w:val="78804BB1"/>
    <w:rsid w:val="788D60F9"/>
    <w:rsid w:val="789B6A68"/>
    <w:rsid w:val="789D27E0"/>
    <w:rsid w:val="78A61EB4"/>
    <w:rsid w:val="790B5926"/>
    <w:rsid w:val="791E4FE0"/>
    <w:rsid w:val="7956473D"/>
    <w:rsid w:val="79584959"/>
    <w:rsid w:val="79FC3536"/>
    <w:rsid w:val="7AD5653B"/>
    <w:rsid w:val="7AE5676D"/>
    <w:rsid w:val="7B0F54EB"/>
    <w:rsid w:val="7B7967E3"/>
    <w:rsid w:val="7CA852AF"/>
    <w:rsid w:val="7D3B5A0E"/>
    <w:rsid w:val="7D3D00ED"/>
    <w:rsid w:val="7D586CD5"/>
    <w:rsid w:val="7D7552E5"/>
    <w:rsid w:val="7DE45F99"/>
    <w:rsid w:val="7E32181D"/>
    <w:rsid w:val="7F054C3B"/>
    <w:rsid w:val="7F1D2FBE"/>
    <w:rsid w:val="7FC05006"/>
    <w:rsid w:val="7FD50AB1"/>
    <w:rsid w:val="7FF57F89"/>
    <w:rsid w:val="D7FE500B"/>
    <w:rsid w:val="FEED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napToGrid w:val="0"/>
      <w:spacing w:line="590" w:lineRule="exact"/>
      <w:ind w:firstLine="72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Lines="0" w:beforeAutospacing="0" w:afterLines="0" w:afterAutospacing="0" w:line="590" w:lineRule="exact"/>
      <w:ind w:firstLine="0" w:firstLineChars="0"/>
      <w:jc w:val="center"/>
      <w:outlineLvl w:val="0"/>
    </w:pPr>
    <w:rPr>
      <w:rFonts w:ascii="Times New Roman" w:hAnsi="Times New Roman" w:eastAsia="方正小标宋_GBK"/>
      <w:kern w:val="44"/>
      <w:sz w:val="36"/>
      <w:szCs w:val="36"/>
    </w:rPr>
  </w:style>
  <w:style w:type="paragraph" w:styleId="3">
    <w:name w:val="heading 2"/>
    <w:basedOn w:val="1"/>
    <w:next w:val="1"/>
    <w:link w:val="19"/>
    <w:unhideWhenUsed/>
    <w:qFormat/>
    <w:uiPriority w:val="0"/>
    <w:pPr>
      <w:keepNext/>
      <w:keepLines/>
      <w:spacing w:beforeLines="0" w:beforeAutospacing="0" w:afterLines="0" w:afterAutospacing="0" w:line="590" w:lineRule="exact"/>
      <w:ind w:firstLine="0" w:firstLineChars="0"/>
      <w:jc w:val="center"/>
      <w:outlineLvl w:val="1"/>
    </w:pPr>
    <w:rPr>
      <w:rFonts w:ascii="Times New Roman" w:hAnsi="Times New Roman" w:eastAsia="黑体"/>
    </w:rPr>
  </w:style>
  <w:style w:type="paragraph" w:styleId="4">
    <w:name w:val="heading 3"/>
    <w:basedOn w:val="1"/>
    <w:next w:val="1"/>
    <w:link w:val="17"/>
    <w:unhideWhenUsed/>
    <w:qFormat/>
    <w:uiPriority w:val="0"/>
    <w:pPr>
      <w:spacing w:beforeAutospacing="0" w:afterAutospacing="0"/>
      <w:jc w:val="both"/>
      <w:outlineLvl w:val="2"/>
    </w:pPr>
    <w:rPr>
      <w:rFonts w:hint="default" w:ascii="Times New Roman" w:hAnsi="Times New Roman" w:eastAsia="楷体" w:cs="宋体"/>
      <w:kern w:val="0"/>
      <w:sz w:val="32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90" w:lineRule="exact"/>
      <w:ind w:firstLine="1440" w:firstLineChars="200"/>
      <w:outlineLvl w:val="3"/>
    </w:pPr>
    <w:rPr>
      <w:rFonts w:ascii="Times New Roman" w:hAnsi="Times New Roman" w:eastAsia="黑体" w:cs="Times New Roman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90" w:lineRule="exact"/>
      <w:ind w:firstLine="0" w:firstLineChars="0"/>
      <w:jc w:val="center"/>
      <w:outlineLvl w:val="4"/>
    </w:pPr>
    <w:rPr>
      <w:rFonts w:ascii="Times New Roman" w:hAnsi="Times New Roman" w:eastAsia="方正小标宋_GBK"/>
      <w:sz w:val="36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next w:val="1"/>
    <w:qFormat/>
    <w:uiPriority w:val="0"/>
    <w:pPr>
      <w:spacing w:afterLines="0" w:afterAutospacing="0"/>
      <w:ind w:firstLine="0" w:firstLineChars="0"/>
      <w:jc w:val="center"/>
    </w:pPr>
    <w:rPr>
      <w:rFonts w:ascii="Times New Roman" w:hAnsi="Times New Roman" w:eastAsia="楷体"/>
    </w:rPr>
  </w:style>
  <w:style w:type="paragraph" w:styleId="8">
    <w:name w:val="toc 3"/>
    <w:basedOn w:val="1"/>
    <w:next w:val="1"/>
    <w:qFormat/>
    <w:uiPriority w:val="0"/>
    <w:pPr>
      <w:ind w:left="640" w:leftChars="200" w:firstLine="0" w:firstLineChars="0"/>
    </w:pPr>
    <w:rPr>
      <w:rFonts w:ascii="Times New Roman" w:hAnsi="Times New Roman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napToGrid w:val="0"/>
      <w:ind w:firstLine="640" w:firstLineChars="200"/>
      <w:jc w:val="center"/>
    </w:pPr>
    <w:rPr>
      <w:rFonts w:ascii="Times New Roman" w:hAnsi="Times New Roman"/>
      <w:sz w:val="30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oc 1"/>
    <w:basedOn w:val="1"/>
    <w:next w:val="1"/>
    <w:qFormat/>
    <w:uiPriority w:val="0"/>
    <w:pPr>
      <w:ind w:firstLine="0" w:firstLineChars="0"/>
      <w:jc w:val="left"/>
    </w:pPr>
    <w:rPr>
      <w:rFonts w:ascii="Times New Roman" w:hAnsi="Times New Roman" w:eastAsia="黑体"/>
      <w:sz w:val="32"/>
    </w:rPr>
  </w:style>
  <w:style w:type="paragraph" w:styleId="12">
    <w:name w:val="toc 2"/>
    <w:basedOn w:val="1"/>
    <w:next w:val="1"/>
    <w:qFormat/>
    <w:uiPriority w:val="0"/>
    <w:pPr>
      <w:ind w:left="320" w:leftChars="100" w:firstLine="0" w:firstLineChars="0"/>
      <w:jc w:val="left"/>
    </w:pPr>
    <w:rPr>
      <w:rFonts w:ascii="Times New Roman" w:hAnsi="Times New Roman" w:eastAsia="楷体_GB2312" w:cs="楷体_GB2312"/>
      <w:sz w:val="28"/>
    </w:rPr>
  </w:style>
  <w:style w:type="paragraph" w:styleId="13">
    <w:name w:val="Body Text 2"/>
    <w:basedOn w:val="1"/>
    <w:qFormat/>
    <w:uiPriority w:val="0"/>
    <w:pPr>
      <w:spacing w:after="120" w:afterLines="0" w:afterAutospacing="0" w:line="480" w:lineRule="auto"/>
    </w:pPr>
  </w:style>
  <w:style w:type="character" w:styleId="16">
    <w:name w:val="Emphasis"/>
    <w:basedOn w:val="15"/>
    <w:qFormat/>
    <w:uiPriority w:val="0"/>
    <w:rPr>
      <w:i/>
    </w:rPr>
  </w:style>
  <w:style w:type="character" w:customStyle="1" w:styleId="17">
    <w:name w:val="标题 3 Char"/>
    <w:link w:val="4"/>
    <w:qFormat/>
    <w:uiPriority w:val="0"/>
    <w:rPr>
      <w:rFonts w:hint="default" w:ascii="Times New Roman" w:hAnsi="Times New Roman" w:eastAsia="楷体" w:cs="宋体"/>
      <w:kern w:val="0"/>
      <w:sz w:val="32"/>
      <w:szCs w:val="27"/>
      <w:lang w:val="en-US" w:eastAsia="zh-CN" w:bidi="ar"/>
    </w:rPr>
  </w:style>
  <w:style w:type="character" w:customStyle="1" w:styleId="18">
    <w:name w:val="标题 1 Char"/>
    <w:link w:val="2"/>
    <w:qFormat/>
    <w:uiPriority w:val="0"/>
    <w:rPr>
      <w:rFonts w:hint="default" w:ascii="Times New Roman" w:hAnsi="Times New Roman" w:eastAsia="方正小标宋_GBK" w:cs="宋体"/>
      <w:kern w:val="44"/>
      <w:sz w:val="36"/>
      <w:szCs w:val="48"/>
      <w:lang w:bidi="ar"/>
    </w:rPr>
  </w:style>
  <w:style w:type="character" w:customStyle="1" w:styleId="19">
    <w:name w:val="标题 2 Char"/>
    <w:link w:val="3"/>
    <w:qFormat/>
    <w:uiPriority w:val="0"/>
    <w:rPr>
      <w:rFonts w:ascii="Times New Roman" w:hAnsi="Times New Roman" w:eastAsia="黑体"/>
      <w:sz w:val="32"/>
    </w:rPr>
  </w:style>
  <w:style w:type="character" w:customStyle="1" w:styleId="20">
    <w:name w:val="font0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49</Pages>
  <Words>4050</Words>
  <Characters>6283</Characters>
  <Lines>0</Lines>
  <Paragraphs>0</Paragraphs>
  <TotalTime>0</TotalTime>
  <ScaleCrop>false</ScaleCrop>
  <LinksUpToDate>false</LinksUpToDate>
  <CharactersWithSpaces>6325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2020-05-27T19:32:00Z</dcterms:created>
  <dc:creator>dell</dc:creator>
  <cp:lastModifiedBy>马豆</cp:lastModifiedBy>
  <cp:lastPrinted>2025-02-14T02:40:00Z</cp:lastPrinted>
  <dcterms:modified xsi:type="dcterms:W3CDTF">2026-02-25T07:50:49Z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FDD60E91779747D7B3A7EB47B973479F_13</vt:lpwstr>
  </property>
  <property fmtid="{D5CDD505-2E9C-101B-9397-08002B2CF9AE}" pid="4" name="KSOTemplateDocerSaveRecord">
    <vt:lpwstr>eyJoZGlkIjoiODI1N2JiZTc4YjNkYjMxMmM0MzM2MGRhZmFkMGIzZmYiLCJ1c2VySWQiOiIzMzE0NTIzNjMifQ==</vt:lpwstr>
  </property>
</Properties>
</file>