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E337B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民权县政府债务举债情况</w:t>
      </w:r>
    </w:p>
    <w:p w14:paraId="3DD71551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036D38AC">
      <w:pPr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一、政府债务责任和考核体系</w:t>
      </w:r>
    </w:p>
    <w:p w14:paraId="69CCEB8A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国务院《关于加强地方政府性债务管理的意见》（国发</w:t>
      </w:r>
      <w:r>
        <w:rPr>
          <w:rFonts w:hint="eastAsia" w:ascii="仿宋" w:hAnsi="仿宋" w:eastAsia="仿宋" w:cs="仿宋_GB2312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2014</w:t>
      </w:r>
      <w:r>
        <w:rPr>
          <w:rFonts w:hint="eastAsia" w:ascii="仿宋" w:hAnsi="仿宋" w:eastAsia="仿宋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43号）和河南省人民政府《关于加强政府性债务管理的意见》（豫政</w:t>
      </w:r>
      <w:r>
        <w:rPr>
          <w:rFonts w:hint="eastAsia" w:ascii="仿宋" w:hAnsi="仿宋" w:eastAsia="仿宋" w:cs="仿宋_GB2312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</w:rPr>
        <w:t>2016</w:t>
      </w:r>
      <w:r>
        <w:rPr>
          <w:rFonts w:hint="eastAsia" w:ascii="仿宋" w:hAnsi="仿宋" w:eastAsia="仿宋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11号）文件规定，各级政府是地方政府债务管理的责任主体，政府主要负责人是第一责任人；追责处理：各级政府、各部门、各单位违反预算法规定举借债务或为他人债务提供担保的，对负有直接责任的主管人员和其他直接责任人员给予撤职、开除处分；出现违法违规举债担保的地方，全省对各地根据年终综合排名情况（100分）扣减3-5分，全市对各地根据年终综合排名情况（200分）扣减6-10分。</w:t>
      </w:r>
    </w:p>
    <w:p w14:paraId="6838B9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风险预警线：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2025年我县政府</w:t>
      </w:r>
      <w:r>
        <w:rPr>
          <w:rFonts w:hint="eastAsia" w:ascii="仿宋_GB2312" w:eastAsia="仿宋_GB2312"/>
          <w:sz w:val="32"/>
          <w:szCs w:val="32"/>
          <w:highlight w:val="none"/>
        </w:rPr>
        <w:t>债务率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风险等级黄色。</w:t>
      </w:r>
      <w:r>
        <w:rPr>
          <w:rFonts w:hint="eastAsia" w:ascii="仿宋_GB2312" w:eastAsia="仿宋_GB2312"/>
          <w:sz w:val="32"/>
          <w:szCs w:val="32"/>
        </w:rPr>
        <w:t>各项债务指标反映地方政府承债能力和总体债务风险情况。根据债务风险测算结果，综合债务率高于预警线或者一般债务利息支出率、专项债务利息支出率、一般债务逾期率、专项债务逾期率其中一项高于预警线的地区列入高风险预警名单，列入高风险地区将限期进行整改外，还要扣减或停止发行其政府债券。</w:t>
      </w:r>
    </w:p>
    <w:p w14:paraId="19D357D1">
      <w:pPr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二、我县政府债务限额情况</w:t>
      </w:r>
    </w:p>
    <w:p w14:paraId="5EFCA079">
      <w:pPr>
        <w:widowControl/>
        <w:spacing w:line="580" w:lineRule="exact"/>
        <w:ind w:firstLine="640" w:firstLineChars="200"/>
        <w:jc w:val="left"/>
        <w:outlineLvl w:val="0"/>
        <w:rPr>
          <w:rFonts w:hint="eastAsia" w:eastAsia="仿宋_GB2312"/>
          <w:bCs/>
          <w:color w:val="auto"/>
          <w:sz w:val="32"/>
          <w:highlight w:val="none"/>
        </w:rPr>
      </w:pPr>
      <w:r>
        <w:rPr>
          <w:rFonts w:hint="eastAsia" w:eastAsia="仿宋_GB2312"/>
          <w:bCs/>
          <w:color w:val="auto"/>
          <w:sz w:val="32"/>
          <w:highlight w:val="none"/>
        </w:rPr>
        <w:t>按照预算法规定，从2015年起，国家对政府债务余额实行限额管理，即年度政府债务的余额不得突破批准的限额。省财政厅核定我县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2025</w:t>
      </w:r>
      <w:r>
        <w:rPr>
          <w:rFonts w:hint="eastAsia" w:eastAsia="仿宋_GB2312"/>
          <w:bCs/>
          <w:color w:val="auto"/>
          <w:sz w:val="32"/>
          <w:highlight w:val="none"/>
        </w:rPr>
        <w:t>年政府债务限额为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113.62</w:t>
      </w:r>
      <w:r>
        <w:rPr>
          <w:rFonts w:hint="eastAsia" w:eastAsia="仿宋_GB2312"/>
          <w:bCs/>
          <w:color w:val="auto"/>
          <w:sz w:val="32"/>
          <w:highlight w:val="none"/>
        </w:rPr>
        <w:t>亿元，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其中一般债务限额17.37亿元；专项债务限额96.25亿元。</w:t>
      </w:r>
      <w:r>
        <w:rPr>
          <w:rFonts w:hint="eastAsia" w:eastAsia="仿宋_GB2312"/>
          <w:bCs/>
          <w:color w:val="auto"/>
          <w:sz w:val="32"/>
          <w:highlight w:val="none"/>
        </w:rPr>
        <w:t>经汇总统计，</w:t>
      </w:r>
      <w:r>
        <w:rPr>
          <w:rFonts w:hint="eastAsia" w:eastAsia="仿宋_GB2312"/>
          <w:bCs/>
          <w:color w:val="auto"/>
          <w:sz w:val="32"/>
          <w:highlight w:val="none"/>
          <w:lang w:eastAsia="zh-CN"/>
        </w:rPr>
        <w:t>202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5</w:t>
      </w:r>
      <w:r>
        <w:rPr>
          <w:rFonts w:hint="eastAsia" w:eastAsia="仿宋_GB2312"/>
          <w:bCs/>
          <w:color w:val="auto"/>
          <w:sz w:val="32"/>
          <w:highlight w:val="none"/>
        </w:rPr>
        <w:t>年底，全县政府债务余额为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112.00</w:t>
      </w:r>
      <w:r>
        <w:rPr>
          <w:rFonts w:hint="eastAsia" w:eastAsia="仿宋_GB2312"/>
          <w:bCs/>
          <w:color w:val="auto"/>
          <w:sz w:val="32"/>
          <w:highlight w:val="none"/>
        </w:rPr>
        <w:t>亿元，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其中：一般债务余额16.90亿元；专项债务余额95.10亿元。全县政府债务余额未超过省财政厅规定的限额</w:t>
      </w:r>
      <w:r>
        <w:rPr>
          <w:rFonts w:hint="eastAsia" w:eastAsia="仿宋_GB2312"/>
          <w:bCs/>
          <w:color w:val="auto"/>
          <w:sz w:val="32"/>
          <w:highlight w:val="none"/>
        </w:rPr>
        <w:t>。</w:t>
      </w:r>
    </w:p>
    <w:p w14:paraId="3483B859">
      <w:pPr>
        <w:widowControl/>
        <w:spacing w:line="580" w:lineRule="exact"/>
        <w:ind w:firstLine="640" w:firstLineChars="200"/>
        <w:jc w:val="left"/>
        <w:outlineLvl w:val="0"/>
        <w:rPr>
          <w:rFonts w:hint="default"/>
          <w:color w:val="auto"/>
          <w:highlight w:val="none"/>
          <w:lang w:val="en-US"/>
        </w:rPr>
      </w:pPr>
      <w:r>
        <w:rPr>
          <w:rFonts w:hint="eastAsia" w:eastAsia="仿宋_GB2312"/>
          <w:bCs/>
          <w:color w:val="auto"/>
          <w:sz w:val="32"/>
          <w:highlight w:val="none"/>
          <w:lang w:eastAsia="zh-CN"/>
        </w:rPr>
        <w:t>202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5</w:t>
      </w:r>
      <w:r>
        <w:rPr>
          <w:rFonts w:hint="eastAsia" w:eastAsia="仿宋_GB2312"/>
          <w:bCs/>
          <w:color w:val="auto"/>
          <w:sz w:val="32"/>
          <w:highlight w:val="none"/>
        </w:rPr>
        <w:t>年</w:t>
      </w:r>
      <w:r>
        <w:rPr>
          <w:rFonts w:hint="eastAsia" w:eastAsia="仿宋_GB2312"/>
          <w:bCs/>
          <w:color w:val="auto"/>
          <w:sz w:val="32"/>
          <w:highlight w:val="none"/>
          <w:lang w:val="en-US" w:eastAsia="zh-CN"/>
        </w:rPr>
        <w:t>度省政府转贷我县地方政府债券额度18.44亿元，其中新增债券6.32亿元，再融资债券12.12亿元，2025年度，民权县地方政府债券还本付息数为13.69亿元，其中：一般债券还本3.97亿元（一般债券本金由再融资债券资金偿还3.56亿元，剩余0.41亿元已纳入县级预算），一般债券付息预算0.52亿元，专项债券还本6.63亿元（专项债券本金由再融资债券资金偿还5.96亿元，剩余0.67亿元已纳入县级预算），专项债券付息预算2.58亿元。</w:t>
      </w:r>
    </w:p>
    <w:p w14:paraId="11B886F4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为进一步规范地方政府举债融资行为，加强全口径债务监测管理，成立了政府性债务管理领导小组，负</w:t>
      </w:r>
      <w:r>
        <w:rPr>
          <w:rFonts w:hint="eastAsia" w:ascii="仿宋_GB2312" w:hAnsi="仿宋_GB2312" w:eastAsia="仿宋_GB2312" w:cs="仿宋_GB2312"/>
          <w:sz w:val="32"/>
          <w:szCs w:val="32"/>
        </w:rPr>
        <w:t>责统一领导、指挥全县政府性债务管理工作，当出现政府性债务风险事件时，负责组织、协调、指挥风险事件应对工作。县债务管理领导小组由县长任组长，成员单位包括宣传部、财政局、发改委、审计局、金融办、人行等相关单位，明确了工作职责，改变地方政府性债务多头管理、各自为政、责权不明的现状。同时，将政府债务纳入党政领导干部考核范围，建立政府负责、财政部门会同有关部门具体落实的组织保障体系，加强债务风险防控工作。制定相关政策文件，规范政府债务管理。一是相继出台了《民权县政府性债务风险应急处置预案》、《民权县政府债务和风险防控实施方案》等相关文件，规范地方政府债务防控和责任划分。二是实行政府债务月报制度，每月度上报本地政府债务情况，接受上级部门监督，动态监控政府债务。县政府及各部门按照风险应急处置预案的要求，严格控制新增政府性债务。</w:t>
      </w:r>
    </w:p>
    <w:p w14:paraId="5315B16C">
      <w:pPr>
        <w:ind w:firstLine="640" w:firstLineChars="200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三、2026年政府债务还本付息安排情况</w:t>
      </w:r>
    </w:p>
    <w:p w14:paraId="053EF153">
      <w:pPr>
        <w:keepNext w:val="0"/>
        <w:keepLines w:val="0"/>
        <w:pageBreakBefore w:val="0"/>
        <w:kinsoku/>
        <w:wordWrap/>
        <w:overflowPunct/>
        <w:bidi w:val="0"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  <w:t>2026年预算安排政府债券还本付息共计安排39856万元，其中一般债券还本4371万元，付息5495万元；专项债券还本0万元，付息29990万元。</w:t>
      </w:r>
      <w:bookmarkStart w:id="0" w:name="_GoBack"/>
      <w:bookmarkEnd w:id="0"/>
    </w:p>
    <w:p w14:paraId="4FD23E84">
      <w:pPr>
        <w:pStyle w:val="2"/>
        <w:rPr>
          <w:rFonts w:hint="eastAsia"/>
          <w:highlight w:val="none"/>
          <w:lang w:val="en-US" w:eastAsia="zh-CN"/>
        </w:rPr>
      </w:pPr>
    </w:p>
    <w:p w14:paraId="31D4BC94">
      <w:pPr>
        <w:ind w:firstLine="645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附表:2025年末政府债务限额和余额情况表</w:t>
      </w:r>
    </w:p>
    <w:p w14:paraId="00AEE31C">
      <w:pPr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2D5C35CF">
      <w:pPr>
        <w:pStyle w:val="2"/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3D27809F">
      <w:pPr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02426A83">
      <w:pPr>
        <w:pStyle w:val="2"/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5BDC49FE">
      <w:pPr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4CFAEA37">
      <w:pPr>
        <w:pStyle w:val="2"/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7B9A8F9F">
      <w:pPr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07022736">
      <w:pPr>
        <w:pStyle w:val="2"/>
        <w:rPr>
          <w:rFonts w:hint="eastAsia" w:ascii="Times New Roman" w:hAnsi="Times New Roman" w:eastAsia="仿宋_GB2312" w:cs="仿宋_GB2312"/>
          <w:color w:val="000000"/>
          <w:spacing w:val="0"/>
          <w:sz w:val="32"/>
          <w:szCs w:val="32"/>
          <w:highlight w:val="none"/>
          <w:u w:val="none"/>
          <w:lang w:val="en-US" w:eastAsia="zh-CN"/>
        </w:rPr>
      </w:pPr>
    </w:p>
    <w:tbl>
      <w:tblPr>
        <w:tblStyle w:val="5"/>
        <w:tblpPr w:leftFromText="180" w:rightFromText="180" w:vertAnchor="page" w:horzAnchor="page" w:tblpX="1213" w:tblpY="1853"/>
        <w:tblOverlap w:val="never"/>
        <w:tblW w:w="9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1215"/>
        <w:gridCol w:w="1050"/>
        <w:gridCol w:w="954"/>
        <w:gridCol w:w="477"/>
        <w:gridCol w:w="453"/>
        <w:gridCol w:w="434"/>
        <w:gridCol w:w="989"/>
        <w:gridCol w:w="916"/>
        <w:gridCol w:w="640"/>
      </w:tblGrid>
      <w:tr w14:paraId="5A52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2025年度民权县地方政府债务余额情况录入表</w:t>
            </w:r>
          </w:p>
        </w:tc>
      </w:tr>
      <w:tr w14:paraId="65ED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8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                                                                                   2025年12月</w:t>
            </w:r>
          </w:p>
        </w:tc>
      </w:tr>
      <w:tr w14:paraId="2536A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42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单位:万元</w:t>
            </w:r>
          </w:p>
        </w:tc>
      </w:tr>
      <w:tr w14:paraId="1D5A9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B1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7C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3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8B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一般债务</w:t>
            </w:r>
          </w:p>
        </w:tc>
        <w:tc>
          <w:tcPr>
            <w:tcW w:w="2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EF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专项债务</w:t>
            </w:r>
          </w:p>
        </w:tc>
      </w:tr>
      <w:tr w14:paraId="0639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2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9D28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C0AC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7B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E7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一般债券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A4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向外国政府借款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36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向国际组织借款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31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其他一般债务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D1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小计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B0F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专项债券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720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其他专项债务</w:t>
            </w:r>
          </w:p>
        </w:tc>
      </w:tr>
      <w:tr w14:paraId="6172B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EFF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上年末地方政府债务余额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BDF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1,041,496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CC3D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173,036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B32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173,036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7651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786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7435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9F2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868,460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510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868,460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C3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B89D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613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本年地方政府债务余额限额(预算数)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AE7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1,136,200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801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173,700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3460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CD07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ADDE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2288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F75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962,500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CCB8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C5B637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E14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1A4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本年地方政府债务(转贷)收入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2C5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184,400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23F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02A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37EB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8D4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1BAC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6E2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184,400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A4D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184,400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80203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B90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CD5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本年地方政府债务还本支出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742A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105,931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0309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39,651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711B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39,651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FA9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6FE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FEB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31A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66,280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E46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66,280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427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793B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6B0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本年采用其他方式化解的债务本金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F66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A23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A14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5E8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AD1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368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159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47B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CA5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3FDE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F7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年末地方政府债务余额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6A3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1,119,965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84D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168,985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2F09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168,985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7B1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DB1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548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A3E5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950,980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165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950,980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3476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 w14:paraId="3FCA500F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NzdkMGIwMzgzZDFhZjQzYTNlNWRiZjNjODlkZGIifQ=="/>
  </w:docVars>
  <w:rsids>
    <w:rsidRoot w:val="009213E8"/>
    <w:rsid w:val="00457857"/>
    <w:rsid w:val="008E4FA4"/>
    <w:rsid w:val="009213E8"/>
    <w:rsid w:val="00951A7D"/>
    <w:rsid w:val="00B05A4E"/>
    <w:rsid w:val="00C41A2A"/>
    <w:rsid w:val="028D14AF"/>
    <w:rsid w:val="02EB56A3"/>
    <w:rsid w:val="05D935C4"/>
    <w:rsid w:val="098D5F6F"/>
    <w:rsid w:val="13051EE5"/>
    <w:rsid w:val="1B125078"/>
    <w:rsid w:val="209F7634"/>
    <w:rsid w:val="255A4A5C"/>
    <w:rsid w:val="259E5B34"/>
    <w:rsid w:val="266E7502"/>
    <w:rsid w:val="26AC3FA2"/>
    <w:rsid w:val="29CC039F"/>
    <w:rsid w:val="2B811722"/>
    <w:rsid w:val="2C3E0375"/>
    <w:rsid w:val="31DF230F"/>
    <w:rsid w:val="37D947E4"/>
    <w:rsid w:val="3C101D37"/>
    <w:rsid w:val="3C872962"/>
    <w:rsid w:val="41E76EB4"/>
    <w:rsid w:val="45107E20"/>
    <w:rsid w:val="477727AF"/>
    <w:rsid w:val="502A36BD"/>
    <w:rsid w:val="520E33BA"/>
    <w:rsid w:val="58D25034"/>
    <w:rsid w:val="5CDA1AEE"/>
    <w:rsid w:val="5D5D7377"/>
    <w:rsid w:val="5D741EE8"/>
    <w:rsid w:val="5F7A394F"/>
    <w:rsid w:val="6FB76C50"/>
    <w:rsid w:val="74344B44"/>
    <w:rsid w:val="7E9D2F0E"/>
    <w:rsid w:val="7F552589"/>
    <w:rsid w:val="7FE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tabs>
        <w:tab w:val="left" w:pos="612"/>
      </w:tabs>
      <w:topLinePunct/>
      <w:autoSpaceDE w:val="0"/>
      <w:autoSpaceDN w:val="0"/>
      <w:adjustRightInd w:val="0"/>
      <w:snapToGrid w:val="0"/>
      <w:spacing w:before="75" w:beforeLines="0" w:line="400" w:lineRule="atLeast"/>
      <w:ind w:left="612" w:hanging="432"/>
      <w:jc w:val="left"/>
      <w:textAlignment w:val="baseline"/>
      <w:outlineLvl w:val="0"/>
    </w:pPr>
    <w:rPr>
      <w:rFonts w:ascii="Arial" w:hAnsi="Arial" w:eastAsia="黑体"/>
      <w:b/>
      <w:kern w:val="44"/>
      <w:sz w:val="30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1475</Words>
  <Characters>1723</Characters>
  <Lines>8</Lines>
  <Paragraphs>2</Paragraphs>
  <TotalTime>108</TotalTime>
  <ScaleCrop>false</ScaleCrop>
  <LinksUpToDate>false</LinksUpToDate>
  <CharactersWithSpaces>1807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2018-05-24T01:08:00Z</dcterms:created>
  <dc:creator>xbany</dc:creator>
  <cp:lastModifiedBy>mymyofficial</cp:lastModifiedBy>
  <dcterms:modified xsi:type="dcterms:W3CDTF">2026-04-14T03:49:54Z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E2AE62F2F0ED4B6194F9D2281DBA80D2_13</vt:lpwstr>
  </property>
  <property fmtid="{D5CDD505-2E9C-101B-9397-08002B2CF9AE}" pid="4" name="KSOTemplateDocerSaveRecord">
    <vt:lpwstr>eyJoZGlkIjoiMmJmYzY3ZTc5OTg5ODNmMzNlOTM0ZGQ0MDU4MWI1Y2YiLCJ1c2VySWQiOiIyMzg0NzQ5MiJ9</vt:lpwstr>
  </property>
</Properties>
</file>